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B7E3E" w14:textId="222F2D3E" w:rsidR="007E7517" w:rsidRPr="00852F7F" w:rsidRDefault="00BE46E9" w:rsidP="00852F7F">
      <w:pPr>
        <w:spacing w:after="0" w:line="240" w:lineRule="auto"/>
        <w:jc w:val="center"/>
        <w:rPr>
          <w:rFonts w:ascii="Times New Roman" w:hAnsi="Times New Roman" w:cs="Times New Roman"/>
          <w:b/>
          <w:bCs/>
          <w:caps/>
          <w:sz w:val="21"/>
          <w:szCs w:val="21"/>
        </w:rPr>
      </w:pPr>
      <w:r>
        <w:rPr>
          <w:rFonts w:ascii="Times New Roman" w:hAnsi="Times New Roman" w:cs="Times New Roman"/>
          <w:b/>
          <w:bCs/>
          <w:caps/>
          <w:sz w:val="21"/>
          <w:szCs w:val="21"/>
        </w:rPr>
        <w:t xml:space="preserve">Principal </w:t>
      </w:r>
      <w:r w:rsidR="006F47F5" w:rsidRPr="00852F7F">
        <w:rPr>
          <w:rFonts w:ascii="Times New Roman" w:hAnsi="Times New Roman" w:cs="Times New Roman"/>
          <w:b/>
          <w:bCs/>
          <w:caps/>
          <w:sz w:val="21"/>
          <w:szCs w:val="21"/>
        </w:rPr>
        <w:t>Investigator Responsibilities</w:t>
      </w:r>
    </w:p>
    <w:p w14:paraId="520CCA2E" w14:textId="77777777" w:rsidR="006F47F5" w:rsidRPr="00852F7F" w:rsidRDefault="006F47F5" w:rsidP="00852F7F">
      <w:pPr>
        <w:spacing w:after="0" w:line="240" w:lineRule="auto"/>
        <w:jc w:val="center"/>
        <w:rPr>
          <w:rFonts w:ascii="Times New Roman" w:hAnsi="Times New Roman" w:cs="Times New Roman"/>
          <w:b/>
          <w:bCs/>
          <w:sz w:val="21"/>
          <w:szCs w:val="21"/>
        </w:rPr>
      </w:pPr>
    </w:p>
    <w:p w14:paraId="00F8C5D8" w14:textId="4CCF5E2E" w:rsidR="00695A66" w:rsidRPr="00852F7F" w:rsidRDefault="00695A66" w:rsidP="00852F7F">
      <w:pPr>
        <w:pStyle w:val="paragraph"/>
        <w:spacing w:before="0" w:beforeAutospacing="0" w:after="0" w:afterAutospacing="0"/>
        <w:jc w:val="both"/>
        <w:textAlignment w:val="baseline"/>
        <w:rPr>
          <w:rStyle w:val="eop"/>
          <w:rFonts w:eastAsiaTheme="majorEastAsia"/>
          <w:b/>
          <w:bCs/>
          <w:sz w:val="21"/>
          <w:szCs w:val="21"/>
        </w:rPr>
      </w:pPr>
      <w:r w:rsidRPr="00852F7F">
        <w:rPr>
          <w:rStyle w:val="normaltextrun"/>
          <w:rFonts w:eastAsiaTheme="majorEastAsia"/>
          <w:b/>
          <w:bCs/>
          <w:sz w:val="21"/>
          <w:szCs w:val="21"/>
        </w:rPr>
        <w:t xml:space="preserve">In submitting a </w:t>
      </w:r>
      <w:r w:rsidRPr="00852F7F">
        <w:rPr>
          <w:rStyle w:val="normaltextrun"/>
          <w:rFonts w:eastAsiaTheme="majorEastAsia"/>
          <w:b/>
          <w:bCs/>
          <w:i/>
          <w:iCs/>
          <w:sz w:val="21"/>
          <w:szCs w:val="21"/>
        </w:rPr>
        <w:t xml:space="preserve">Single or Multi-Site &amp; External </w:t>
      </w:r>
      <w:proofErr w:type="spellStart"/>
      <w:r w:rsidRPr="00852F7F">
        <w:rPr>
          <w:rStyle w:val="normaltextrun"/>
          <w:rFonts w:eastAsiaTheme="majorEastAsia"/>
          <w:b/>
          <w:bCs/>
          <w:i/>
          <w:iCs/>
          <w:sz w:val="21"/>
          <w:szCs w:val="21"/>
        </w:rPr>
        <w:t>SmartForm</w:t>
      </w:r>
      <w:proofErr w:type="spellEnd"/>
      <w:r w:rsidRPr="00852F7F">
        <w:rPr>
          <w:rStyle w:val="normaltextrun"/>
          <w:rFonts w:eastAsiaTheme="majorEastAsia"/>
          <w:b/>
          <w:bCs/>
          <w:sz w:val="21"/>
          <w:szCs w:val="21"/>
        </w:rPr>
        <w:t xml:space="preserve"> or</w:t>
      </w:r>
      <w:r w:rsidR="00EE251A" w:rsidRPr="00852F7F">
        <w:rPr>
          <w:rStyle w:val="normaltextrun"/>
          <w:rFonts w:eastAsiaTheme="majorEastAsia"/>
          <w:b/>
          <w:bCs/>
          <w:sz w:val="21"/>
          <w:szCs w:val="21"/>
        </w:rPr>
        <w:t xml:space="preserve"> a revision to include a new investigator via the</w:t>
      </w:r>
      <w:r w:rsidRPr="00852F7F">
        <w:rPr>
          <w:rStyle w:val="normaltextrun"/>
          <w:rFonts w:eastAsiaTheme="majorEastAsia"/>
          <w:b/>
          <w:bCs/>
          <w:sz w:val="21"/>
          <w:szCs w:val="21"/>
        </w:rPr>
        <w:t xml:space="preserve"> </w:t>
      </w:r>
      <w:r w:rsidRPr="00852F7F">
        <w:rPr>
          <w:rStyle w:val="normaltextrun"/>
          <w:rFonts w:eastAsiaTheme="majorEastAsia"/>
          <w:b/>
          <w:bCs/>
          <w:i/>
          <w:iCs/>
          <w:sz w:val="21"/>
          <w:szCs w:val="21"/>
        </w:rPr>
        <w:t xml:space="preserve">Modification and Continuing Review </w:t>
      </w:r>
      <w:proofErr w:type="spellStart"/>
      <w:r w:rsidRPr="00852F7F">
        <w:rPr>
          <w:rStyle w:val="normaltextrun"/>
          <w:rFonts w:eastAsiaTheme="majorEastAsia"/>
          <w:b/>
          <w:bCs/>
          <w:i/>
          <w:iCs/>
          <w:sz w:val="21"/>
          <w:szCs w:val="21"/>
        </w:rPr>
        <w:t>SmartForm</w:t>
      </w:r>
      <w:proofErr w:type="spellEnd"/>
      <w:r w:rsidRPr="00852F7F">
        <w:rPr>
          <w:rStyle w:val="normaltextrun"/>
          <w:rFonts w:eastAsiaTheme="majorEastAsia"/>
          <w:b/>
          <w:bCs/>
          <w:sz w:val="21"/>
          <w:szCs w:val="21"/>
        </w:rPr>
        <w:t xml:space="preserve"> for approval by your local IRB, as PI you agree to assume the following responsibilities and to faithfully execute them in accord with applicable federal regulations for the protection of human subjects and your local IRB policies and procedures:</w:t>
      </w:r>
      <w:r w:rsidRPr="00852F7F">
        <w:rPr>
          <w:rStyle w:val="eop"/>
          <w:rFonts w:eastAsiaTheme="majorEastAsia"/>
          <w:b/>
          <w:bCs/>
          <w:sz w:val="21"/>
          <w:szCs w:val="21"/>
        </w:rPr>
        <w:t> </w:t>
      </w:r>
    </w:p>
    <w:p w14:paraId="727BD7AF" w14:textId="77777777" w:rsidR="00EE251A" w:rsidRPr="00852F7F" w:rsidRDefault="00EE251A" w:rsidP="00EE251A">
      <w:pPr>
        <w:pStyle w:val="paragraph"/>
        <w:spacing w:before="0" w:beforeAutospacing="0" w:after="0" w:afterAutospacing="0"/>
        <w:jc w:val="both"/>
        <w:textAlignment w:val="baseline"/>
        <w:rPr>
          <w:sz w:val="21"/>
          <w:szCs w:val="21"/>
        </w:rPr>
      </w:pPr>
    </w:p>
    <w:p w14:paraId="62CA930F" w14:textId="77777777" w:rsidR="00695A66" w:rsidRPr="00852F7F" w:rsidRDefault="00695A66" w:rsidP="00EE251A">
      <w:pPr>
        <w:pStyle w:val="paragraph"/>
        <w:numPr>
          <w:ilvl w:val="0"/>
          <w:numId w:val="2"/>
        </w:numPr>
        <w:tabs>
          <w:tab w:val="clear" w:pos="720"/>
        </w:tabs>
        <w:spacing w:before="0" w:beforeAutospacing="0" w:after="0" w:afterAutospacing="0"/>
        <w:ind w:hanging="720"/>
        <w:jc w:val="both"/>
        <w:textAlignment w:val="baseline"/>
        <w:rPr>
          <w:sz w:val="21"/>
          <w:szCs w:val="21"/>
        </w:rPr>
      </w:pPr>
      <w:r w:rsidRPr="00852F7F">
        <w:rPr>
          <w:rStyle w:val="normaltextrun"/>
          <w:rFonts w:eastAsiaTheme="majorEastAsia"/>
          <w:sz w:val="21"/>
          <w:szCs w:val="21"/>
        </w:rPr>
        <w:t>To conduct the research according to your local IRB-approved protocol.</w:t>
      </w:r>
      <w:r w:rsidRPr="00852F7F">
        <w:rPr>
          <w:rStyle w:val="eop"/>
          <w:rFonts w:eastAsiaTheme="majorEastAsia"/>
          <w:sz w:val="21"/>
          <w:szCs w:val="21"/>
        </w:rPr>
        <w:t> </w:t>
      </w:r>
    </w:p>
    <w:p w14:paraId="10788B02" w14:textId="77777777" w:rsidR="00695A66" w:rsidRPr="00852F7F" w:rsidRDefault="00695A66" w:rsidP="00EE251A">
      <w:pPr>
        <w:pStyle w:val="paragraph"/>
        <w:numPr>
          <w:ilvl w:val="0"/>
          <w:numId w:val="3"/>
        </w:numPr>
        <w:tabs>
          <w:tab w:val="clear" w:pos="720"/>
        </w:tabs>
        <w:spacing w:before="0" w:beforeAutospacing="0" w:after="0" w:afterAutospacing="0"/>
        <w:ind w:hanging="720"/>
        <w:jc w:val="both"/>
        <w:textAlignment w:val="baseline"/>
        <w:rPr>
          <w:sz w:val="21"/>
          <w:szCs w:val="21"/>
        </w:rPr>
      </w:pPr>
      <w:r w:rsidRPr="00852F7F">
        <w:rPr>
          <w:rStyle w:val="normaltextrun"/>
          <w:rFonts w:eastAsiaTheme="majorEastAsia"/>
          <w:sz w:val="21"/>
          <w:szCs w:val="21"/>
        </w:rPr>
        <w:t>To obtain and document the informed consent and/or assent of subjects or subjects’ legally authorized representatives, using your local IRB approved informed consent process and documents, prior to the subjects’ participation in any research procedures, unless these requirements have been altered or waived by your local IRB. </w:t>
      </w:r>
      <w:r w:rsidRPr="00852F7F">
        <w:rPr>
          <w:rStyle w:val="eop"/>
          <w:rFonts w:eastAsiaTheme="majorEastAsia"/>
          <w:sz w:val="21"/>
          <w:szCs w:val="21"/>
        </w:rPr>
        <w:t> </w:t>
      </w:r>
    </w:p>
    <w:p w14:paraId="7B798186" w14:textId="77777777" w:rsidR="00695A66" w:rsidRPr="00852F7F" w:rsidRDefault="00695A66" w:rsidP="00EE251A">
      <w:pPr>
        <w:pStyle w:val="paragraph"/>
        <w:numPr>
          <w:ilvl w:val="0"/>
          <w:numId w:val="4"/>
        </w:numPr>
        <w:tabs>
          <w:tab w:val="clear" w:pos="720"/>
        </w:tabs>
        <w:spacing w:before="0" w:beforeAutospacing="0" w:after="0" w:afterAutospacing="0"/>
        <w:ind w:hanging="720"/>
        <w:jc w:val="both"/>
        <w:textAlignment w:val="baseline"/>
        <w:rPr>
          <w:rStyle w:val="eop"/>
          <w:sz w:val="21"/>
          <w:szCs w:val="21"/>
        </w:rPr>
      </w:pPr>
      <w:r w:rsidRPr="00852F7F">
        <w:rPr>
          <w:rStyle w:val="normaltextrun"/>
          <w:rFonts w:eastAsiaTheme="majorEastAsia"/>
          <w:sz w:val="21"/>
          <w:szCs w:val="21"/>
        </w:rPr>
        <w:t>To obtain prior approval from your local IRB for any modifications of previously approved research. </w:t>
      </w:r>
      <w:r w:rsidRPr="00852F7F">
        <w:rPr>
          <w:rStyle w:val="eop"/>
          <w:rFonts w:eastAsiaTheme="majorEastAsia"/>
          <w:sz w:val="21"/>
          <w:szCs w:val="21"/>
        </w:rPr>
        <w:t> </w:t>
      </w:r>
    </w:p>
    <w:p w14:paraId="3C7C41EE" w14:textId="6982A0EF" w:rsidR="00852F7F" w:rsidRDefault="00852F7F" w:rsidP="00852F7F">
      <w:pPr>
        <w:pStyle w:val="paragraph"/>
        <w:numPr>
          <w:ilvl w:val="0"/>
          <w:numId w:val="4"/>
        </w:numPr>
        <w:tabs>
          <w:tab w:val="clear" w:pos="720"/>
        </w:tabs>
        <w:spacing w:before="0" w:beforeAutospacing="0" w:after="0" w:afterAutospacing="0"/>
        <w:ind w:hanging="720"/>
        <w:jc w:val="both"/>
        <w:textAlignment w:val="baseline"/>
        <w:rPr>
          <w:sz w:val="21"/>
          <w:szCs w:val="21"/>
        </w:rPr>
      </w:pPr>
      <w:r w:rsidRPr="00852F7F">
        <w:rPr>
          <w:sz w:val="21"/>
          <w:szCs w:val="21"/>
        </w:rPr>
        <w:t>When conducting FDA-regulated research, uphold all responsibilities delineated in the UTHSC</w:t>
      </w:r>
      <w:r w:rsidR="00225AB4">
        <w:rPr>
          <w:sz w:val="21"/>
          <w:szCs w:val="21"/>
        </w:rPr>
        <w:t xml:space="preserve"> Com C</w:t>
      </w:r>
      <w:r w:rsidRPr="00852F7F">
        <w:rPr>
          <w:sz w:val="21"/>
          <w:szCs w:val="21"/>
        </w:rPr>
        <w:t xml:space="preserve"> IRB SOP, FDA-Regulated Research</w:t>
      </w:r>
      <w:r>
        <w:rPr>
          <w:sz w:val="21"/>
          <w:szCs w:val="21"/>
        </w:rPr>
        <w:t>.</w:t>
      </w:r>
    </w:p>
    <w:p w14:paraId="1841EF1D" w14:textId="77777777" w:rsidR="00852F7F" w:rsidRDefault="00695A66" w:rsidP="00852F7F">
      <w:pPr>
        <w:pStyle w:val="paragraph"/>
        <w:numPr>
          <w:ilvl w:val="0"/>
          <w:numId w:val="4"/>
        </w:numPr>
        <w:tabs>
          <w:tab w:val="clear" w:pos="720"/>
        </w:tabs>
        <w:spacing w:before="0" w:beforeAutospacing="0" w:after="0" w:afterAutospacing="0"/>
        <w:ind w:hanging="720"/>
        <w:jc w:val="both"/>
        <w:textAlignment w:val="baseline"/>
        <w:rPr>
          <w:sz w:val="21"/>
          <w:szCs w:val="21"/>
        </w:rPr>
      </w:pPr>
      <w:r w:rsidRPr="00852F7F">
        <w:rPr>
          <w:rStyle w:val="normaltextrun"/>
          <w:rFonts w:eastAsiaTheme="majorEastAsia"/>
          <w:sz w:val="21"/>
          <w:szCs w:val="21"/>
        </w:rPr>
        <w:t>To ensure that progress reports and requests for continuing review and approval are submitted in the time frame and the manner prescribed by your local IRB. </w:t>
      </w:r>
      <w:r w:rsidRPr="00852F7F">
        <w:rPr>
          <w:rStyle w:val="eop"/>
          <w:rFonts w:eastAsiaTheme="majorEastAsia"/>
          <w:sz w:val="21"/>
          <w:szCs w:val="21"/>
        </w:rPr>
        <w:t> </w:t>
      </w:r>
    </w:p>
    <w:p w14:paraId="51EF2D81" w14:textId="77777777" w:rsidR="00852F7F" w:rsidRDefault="00695A66" w:rsidP="00852F7F">
      <w:pPr>
        <w:pStyle w:val="paragraph"/>
        <w:numPr>
          <w:ilvl w:val="0"/>
          <w:numId w:val="4"/>
        </w:numPr>
        <w:tabs>
          <w:tab w:val="clear" w:pos="720"/>
        </w:tabs>
        <w:spacing w:before="0" w:beforeAutospacing="0" w:after="0" w:afterAutospacing="0"/>
        <w:ind w:hanging="720"/>
        <w:jc w:val="both"/>
        <w:textAlignment w:val="baseline"/>
        <w:rPr>
          <w:sz w:val="21"/>
          <w:szCs w:val="21"/>
        </w:rPr>
      </w:pPr>
      <w:r w:rsidRPr="00852F7F">
        <w:rPr>
          <w:rStyle w:val="normaltextrun"/>
          <w:rFonts w:eastAsiaTheme="majorEastAsia"/>
          <w:sz w:val="21"/>
          <w:szCs w:val="21"/>
        </w:rPr>
        <w:t>To provide your local IRB with prompt reports of any unanticipated problems involving risks to subjects or others, including adverse events and protocol deviations.</w:t>
      </w:r>
      <w:r w:rsidRPr="00852F7F">
        <w:rPr>
          <w:rStyle w:val="eop"/>
          <w:rFonts w:eastAsiaTheme="majorEastAsia"/>
          <w:sz w:val="21"/>
          <w:szCs w:val="21"/>
        </w:rPr>
        <w:t> </w:t>
      </w:r>
    </w:p>
    <w:p w14:paraId="5909EDD9" w14:textId="6BCDD19C" w:rsidR="00695A66" w:rsidRPr="00852F7F" w:rsidRDefault="00695A66" w:rsidP="00852F7F">
      <w:pPr>
        <w:pStyle w:val="paragraph"/>
        <w:numPr>
          <w:ilvl w:val="0"/>
          <w:numId w:val="4"/>
        </w:numPr>
        <w:tabs>
          <w:tab w:val="clear" w:pos="720"/>
        </w:tabs>
        <w:spacing w:before="0" w:beforeAutospacing="0" w:after="0" w:afterAutospacing="0"/>
        <w:ind w:hanging="720"/>
        <w:jc w:val="both"/>
        <w:textAlignment w:val="baseline"/>
        <w:rPr>
          <w:rStyle w:val="eop"/>
          <w:sz w:val="21"/>
          <w:szCs w:val="21"/>
        </w:rPr>
      </w:pPr>
      <w:r w:rsidRPr="00852F7F">
        <w:rPr>
          <w:rStyle w:val="normaltextrun"/>
          <w:rFonts w:eastAsiaTheme="majorEastAsia"/>
          <w:sz w:val="21"/>
          <w:szCs w:val="21"/>
        </w:rPr>
        <w:t>To provide your local IRB with prompt reports of serious or continuing noncompliance with the federal regulations or with the requirements of your local IRB. </w:t>
      </w:r>
      <w:r w:rsidRPr="00852F7F">
        <w:rPr>
          <w:rStyle w:val="eop"/>
          <w:rFonts w:eastAsiaTheme="majorEastAsia"/>
          <w:sz w:val="21"/>
          <w:szCs w:val="21"/>
        </w:rPr>
        <w:t> </w:t>
      </w:r>
    </w:p>
    <w:p w14:paraId="3A8740DB" w14:textId="5EFA6CF7" w:rsidR="00852F7F" w:rsidRPr="00852F7F" w:rsidRDefault="00852F7F" w:rsidP="00852F7F">
      <w:pPr>
        <w:pStyle w:val="paragraph"/>
        <w:numPr>
          <w:ilvl w:val="0"/>
          <w:numId w:val="4"/>
        </w:numPr>
        <w:tabs>
          <w:tab w:val="clear" w:pos="720"/>
        </w:tabs>
        <w:spacing w:before="0" w:beforeAutospacing="0" w:after="0" w:afterAutospacing="0"/>
        <w:ind w:hanging="720"/>
        <w:jc w:val="both"/>
        <w:textAlignment w:val="baseline"/>
        <w:rPr>
          <w:rStyle w:val="eop"/>
          <w:sz w:val="21"/>
          <w:szCs w:val="21"/>
        </w:rPr>
      </w:pPr>
      <w:r>
        <w:rPr>
          <w:rStyle w:val="eop"/>
          <w:rFonts w:eastAsiaTheme="majorEastAsia"/>
          <w:sz w:val="21"/>
          <w:szCs w:val="21"/>
        </w:rPr>
        <w:t xml:space="preserve">To collect, where possible, information regarding gender and racial/ethnic origin of all subjects and to </w:t>
      </w:r>
      <w:r w:rsidRPr="00852F7F">
        <w:rPr>
          <w:rStyle w:val="eop"/>
          <w:rFonts w:eastAsiaTheme="majorEastAsia"/>
          <w:sz w:val="21"/>
          <w:szCs w:val="21"/>
        </w:rPr>
        <w:t>report this information to the IRB as requested.</w:t>
      </w:r>
    </w:p>
    <w:p w14:paraId="6D6870B0" w14:textId="64747E72" w:rsidR="00852F7F" w:rsidRPr="00852F7F" w:rsidRDefault="00852F7F" w:rsidP="00852F7F">
      <w:pPr>
        <w:pStyle w:val="paragraph"/>
        <w:numPr>
          <w:ilvl w:val="0"/>
          <w:numId w:val="4"/>
        </w:numPr>
        <w:tabs>
          <w:tab w:val="clear" w:pos="720"/>
        </w:tabs>
        <w:spacing w:before="0" w:beforeAutospacing="0" w:after="0" w:afterAutospacing="0"/>
        <w:ind w:hanging="720"/>
        <w:jc w:val="both"/>
        <w:textAlignment w:val="baseline"/>
        <w:rPr>
          <w:sz w:val="21"/>
          <w:szCs w:val="21"/>
        </w:rPr>
      </w:pPr>
      <w:r w:rsidRPr="00852F7F">
        <w:rPr>
          <w:sz w:val="21"/>
          <w:szCs w:val="21"/>
        </w:rPr>
        <w:t>To request closure of the study from the IRB when all research activities including identifiable data analysis are complete.</w:t>
      </w:r>
    </w:p>
    <w:p w14:paraId="1E3D9351" w14:textId="59F55939" w:rsidR="00852F7F" w:rsidRPr="00852F7F" w:rsidRDefault="00852F7F" w:rsidP="00852F7F">
      <w:pPr>
        <w:pStyle w:val="paragraph"/>
        <w:numPr>
          <w:ilvl w:val="0"/>
          <w:numId w:val="4"/>
        </w:numPr>
        <w:tabs>
          <w:tab w:val="clear" w:pos="720"/>
        </w:tabs>
        <w:spacing w:before="0" w:beforeAutospacing="0" w:after="0" w:afterAutospacing="0"/>
        <w:ind w:hanging="720"/>
        <w:jc w:val="both"/>
        <w:textAlignment w:val="baseline"/>
        <w:rPr>
          <w:sz w:val="21"/>
          <w:szCs w:val="21"/>
        </w:rPr>
      </w:pPr>
      <w:r w:rsidRPr="00852F7F">
        <w:rPr>
          <w:b/>
          <w:bCs/>
          <w:sz w:val="21"/>
          <w:szCs w:val="21"/>
        </w:rPr>
        <w:t>Before</w:t>
      </w:r>
      <w:r w:rsidRPr="00852F7F">
        <w:rPr>
          <w:sz w:val="21"/>
          <w:szCs w:val="21"/>
        </w:rPr>
        <w:t xml:space="preserve"> separating from UTHSC</w:t>
      </w:r>
      <w:r w:rsidR="00225AB4">
        <w:rPr>
          <w:sz w:val="21"/>
          <w:szCs w:val="21"/>
        </w:rPr>
        <w:t xml:space="preserve"> Com C or Erlanger Health</w:t>
      </w:r>
      <w:r w:rsidRPr="00852F7F">
        <w:rPr>
          <w:sz w:val="21"/>
          <w:szCs w:val="21"/>
        </w:rPr>
        <w:t xml:space="preserve">, to either request (a) closure of the study from the IRB, OR (b) replacement of the Principal Investigator (PI) so that a local </w:t>
      </w:r>
      <w:proofErr w:type="gramStart"/>
      <w:r w:rsidRPr="00852F7F">
        <w:rPr>
          <w:sz w:val="21"/>
          <w:szCs w:val="21"/>
        </w:rPr>
        <w:t xml:space="preserve">UTHSC </w:t>
      </w:r>
      <w:r w:rsidR="00225AB4">
        <w:rPr>
          <w:sz w:val="21"/>
          <w:szCs w:val="21"/>
        </w:rPr>
        <w:t xml:space="preserve"> COMC</w:t>
      </w:r>
      <w:proofErr w:type="gramEnd"/>
      <w:r w:rsidR="00225AB4">
        <w:rPr>
          <w:sz w:val="21"/>
          <w:szCs w:val="21"/>
        </w:rPr>
        <w:t xml:space="preserve"> </w:t>
      </w:r>
      <w:r w:rsidRPr="00852F7F">
        <w:rPr>
          <w:sz w:val="21"/>
          <w:szCs w:val="21"/>
        </w:rPr>
        <w:t>PI is maintained, OR (c) request a consult with the IRB if you wish to remain involved in the study in any way at your new institution (including receiving data/specimens that are de-identified or identifiable).</w:t>
      </w:r>
    </w:p>
    <w:p w14:paraId="2FA28F0F" w14:textId="79A1AF8C" w:rsidR="00852F7F" w:rsidRPr="00852F7F" w:rsidRDefault="00852F7F" w:rsidP="00852F7F">
      <w:pPr>
        <w:pStyle w:val="paragraph"/>
        <w:numPr>
          <w:ilvl w:val="0"/>
          <w:numId w:val="4"/>
        </w:numPr>
        <w:tabs>
          <w:tab w:val="clear" w:pos="720"/>
        </w:tabs>
        <w:spacing w:before="0" w:beforeAutospacing="0" w:after="0" w:afterAutospacing="0"/>
        <w:ind w:hanging="720"/>
        <w:jc w:val="both"/>
        <w:textAlignment w:val="baseline"/>
        <w:rPr>
          <w:sz w:val="21"/>
          <w:szCs w:val="21"/>
        </w:rPr>
      </w:pPr>
      <w:r w:rsidRPr="00852F7F">
        <w:rPr>
          <w:sz w:val="21"/>
          <w:szCs w:val="21"/>
        </w:rPr>
        <w:t>To retain study/project records according to the applicable regulation or if more than one regulation applies, the longest applicable period:</w:t>
      </w:r>
    </w:p>
    <w:p w14:paraId="79D26CA9" w14:textId="77777777" w:rsidR="00852F7F" w:rsidRPr="00852F7F" w:rsidRDefault="00852F7F" w:rsidP="00852F7F">
      <w:pPr>
        <w:pStyle w:val="paragraph"/>
        <w:numPr>
          <w:ilvl w:val="1"/>
          <w:numId w:val="4"/>
        </w:numPr>
        <w:spacing w:before="0" w:beforeAutospacing="0" w:after="0" w:afterAutospacing="0"/>
        <w:ind w:left="1080"/>
        <w:jc w:val="both"/>
        <w:textAlignment w:val="baseline"/>
        <w:rPr>
          <w:sz w:val="21"/>
          <w:szCs w:val="21"/>
        </w:rPr>
      </w:pPr>
      <w:r w:rsidRPr="00852F7F">
        <w:rPr>
          <w:b/>
          <w:sz w:val="21"/>
          <w:szCs w:val="21"/>
        </w:rPr>
        <w:t>OHRP Requirements</w:t>
      </w:r>
      <w:r w:rsidRPr="00852F7F">
        <w:rPr>
          <w:sz w:val="21"/>
          <w:szCs w:val="21"/>
        </w:rPr>
        <w:t>: For all research that is regulated by HHS and reviewed under 45 CFR 46, records relating to the research must be retained for a least three years after the completion of the research, including consent forms and all correspondence with the IRB and other entities involved in conducting and supporting the research</w:t>
      </w:r>
    </w:p>
    <w:p w14:paraId="36A4F1A8" w14:textId="68A4154F" w:rsidR="00852F7F" w:rsidRPr="00852F7F" w:rsidRDefault="00852F7F" w:rsidP="00852F7F">
      <w:pPr>
        <w:pStyle w:val="paragraph"/>
        <w:numPr>
          <w:ilvl w:val="1"/>
          <w:numId w:val="4"/>
        </w:numPr>
        <w:spacing w:before="0" w:beforeAutospacing="0" w:after="0" w:afterAutospacing="0"/>
        <w:ind w:left="1080"/>
        <w:jc w:val="both"/>
        <w:textAlignment w:val="baseline"/>
        <w:rPr>
          <w:sz w:val="21"/>
          <w:szCs w:val="21"/>
        </w:rPr>
      </w:pPr>
      <w:r w:rsidRPr="00852F7F">
        <w:rPr>
          <w:b/>
          <w:sz w:val="21"/>
          <w:szCs w:val="21"/>
        </w:rPr>
        <w:t xml:space="preserve">FDA Requirements: </w:t>
      </w:r>
      <w:r w:rsidRPr="00852F7F">
        <w:rPr>
          <w:sz w:val="21"/>
          <w:szCs w:val="21"/>
        </w:rPr>
        <w:t>An investigator conducting research that is regulated by the FDA and involves drugs or biologics being tested in humans must retain the research records for a period of 2 years following the date a marketing application is approved for the drug for the indication for which it is being investigated or, if no application is being filed or the application is not approved for such indication, until 2 years after the investigation is discontinued and the FDA is notified.</w:t>
      </w:r>
    </w:p>
    <w:p w14:paraId="70D78628" w14:textId="77777777" w:rsidR="00852F7F" w:rsidRPr="00852F7F" w:rsidRDefault="00852F7F" w:rsidP="00852F7F">
      <w:pPr>
        <w:pStyle w:val="Header"/>
        <w:ind w:left="1800"/>
        <w:rPr>
          <w:sz w:val="21"/>
          <w:szCs w:val="21"/>
        </w:rPr>
      </w:pPr>
    </w:p>
    <w:p w14:paraId="403D0467" w14:textId="61DE1DD6" w:rsidR="00852F7F" w:rsidRPr="00852F7F" w:rsidRDefault="00852F7F" w:rsidP="00852F7F">
      <w:pPr>
        <w:pStyle w:val="paragraph"/>
        <w:spacing w:before="0" w:beforeAutospacing="0" w:after="0" w:afterAutospacing="0"/>
        <w:ind w:left="1080"/>
        <w:jc w:val="both"/>
        <w:textAlignment w:val="baseline"/>
        <w:rPr>
          <w:sz w:val="21"/>
          <w:szCs w:val="21"/>
        </w:rPr>
      </w:pPr>
      <w:r w:rsidRPr="00852F7F">
        <w:rPr>
          <w:sz w:val="21"/>
          <w:szCs w:val="21"/>
        </w:rPr>
        <w:t>An investigator conducting research that involves a medical device shall maintain the research records for a period of 2 years after the later of the following two dates: (</w:t>
      </w:r>
      <w:proofErr w:type="spellStart"/>
      <w:r w:rsidRPr="00852F7F">
        <w:rPr>
          <w:sz w:val="21"/>
          <w:szCs w:val="21"/>
        </w:rPr>
        <w:t>i</w:t>
      </w:r>
      <w:proofErr w:type="spellEnd"/>
      <w:r w:rsidRPr="00852F7F">
        <w:rPr>
          <w:sz w:val="21"/>
          <w:szCs w:val="21"/>
        </w:rPr>
        <w:t>) the date on which the investigation is terminated or completed; or (ii) the date that the records are no longer required for purposes of supporting a premarket approval application or a notice of completion of a product development protocol.</w:t>
      </w:r>
    </w:p>
    <w:p w14:paraId="1B71E650" w14:textId="4109543D" w:rsidR="00852F7F" w:rsidRPr="00852F7F" w:rsidRDefault="00852F7F" w:rsidP="00852F7F">
      <w:pPr>
        <w:pStyle w:val="paragraph"/>
        <w:numPr>
          <w:ilvl w:val="1"/>
          <w:numId w:val="4"/>
        </w:numPr>
        <w:spacing w:before="0" w:beforeAutospacing="0" w:after="0" w:afterAutospacing="0"/>
        <w:ind w:left="1080"/>
        <w:jc w:val="both"/>
        <w:textAlignment w:val="baseline"/>
        <w:rPr>
          <w:sz w:val="21"/>
          <w:szCs w:val="21"/>
        </w:rPr>
      </w:pPr>
      <w:r w:rsidRPr="00852F7F">
        <w:rPr>
          <w:b/>
          <w:sz w:val="21"/>
          <w:szCs w:val="21"/>
        </w:rPr>
        <w:t>HIPAA Requirements</w:t>
      </w:r>
      <w:r w:rsidRPr="00852F7F">
        <w:rPr>
          <w:sz w:val="21"/>
          <w:szCs w:val="21"/>
        </w:rPr>
        <w:t>: Research that involves collection of protected health information (PHI) is subject to the HIPAA regulations.  Research records including signed consent forms that contain the HIPAA authorization must be retained for six years after the date on which the subject signed the consent form or the date when it was last in effect, whichever is later</w:t>
      </w:r>
    </w:p>
    <w:p w14:paraId="4B0EF98B" w14:textId="7409229A" w:rsidR="00852F7F" w:rsidRPr="00852F7F" w:rsidRDefault="00852F7F" w:rsidP="00852F7F">
      <w:pPr>
        <w:pStyle w:val="paragraph"/>
        <w:numPr>
          <w:ilvl w:val="1"/>
          <w:numId w:val="4"/>
        </w:numPr>
        <w:spacing w:before="0" w:beforeAutospacing="0" w:after="0" w:afterAutospacing="0"/>
        <w:ind w:left="1080"/>
        <w:jc w:val="both"/>
        <w:textAlignment w:val="baseline"/>
        <w:rPr>
          <w:sz w:val="21"/>
          <w:szCs w:val="21"/>
        </w:rPr>
      </w:pPr>
      <w:r w:rsidRPr="00852F7F">
        <w:rPr>
          <w:b/>
          <w:sz w:val="21"/>
          <w:szCs w:val="21"/>
        </w:rPr>
        <w:lastRenderedPageBreak/>
        <w:t>Sponsor Requirements</w:t>
      </w:r>
      <w:r w:rsidRPr="00852F7F">
        <w:rPr>
          <w:sz w:val="21"/>
          <w:szCs w:val="21"/>
        </w:rPr>
        <w:t>: If a research project is sponsored, then the investigator must comply with the terms for record retention outlined in the contract with the sponsor.</w:t>
      </w:r>
    </w:p>
    <w:p w14:paraId="0809E963" w14:textId="2A09F96D" w:rsidR="00852F7F" w:rsidRPr="00852F7F" w:rsidRDefault="00852F7F" w:rsidP="00852F7F">
      <w:pPr>
        <w:pStyle w:val="paragraph"/>
        <w:numPr>
          <w:ilvl w:val="1"/>
          <w:numId w:val="4"/>
        </w:numPr>
        <w:spacing w:before="0" w:beforeAutospacing="0" w:after="0" w:afterAutospacing="0"/>
        <w:ind w:left="1080"/>
        <w:jc w:val="both"/>
        <w:textAlignment w:val="baseline"/>
        <w:rPr>
          <w:sz w:val="21"/>
          <w:szCs w:val="21"/>
        </w:rPr>
      </w:pPr>
      <w:r w:rsidRPr="00852F7F">
        <w:rPr>
          <w:b/>
          <w:sz w:val="21"/>
          <w:szCs w:val="21"/>
        </w:rPr>
        <w:t>Questions of data validity</w:t>
      </w:r>
      <w:r w:rsidRPr="00852F7F">
        <w:rPr>
          <w:sz w:val="21"/>
          <w:szCs w:val="21"/>
        </w:rPr>
        <w:t>: If there are questions or allegations about the validity of the data or appropriate conduct of the research, the investigator must retain all the original research data until such time as the questions or allegations have been completely resolved,</w:t>
      </w:r>
    </w:p>
    <w:p w14:paraId="20CEDE68" w14:textId="3B36F0D5" w:rsidR="00852F7F" w:rsidRPr="00852F7F" w:rsidRDefault="00852F7F" w:rsidP="00852F7F">
      <w:pPr>
        <w:pStyle w:val="paragraph"/>
        <w:numPr>
          <w:ilvl w:val="0"/>
          <w:numId w:val="19"/>
        </w:numPr>
        <w:tabs>
          <w:tab w:val="clear" w:pos="720"/>
        </w:tabs>
        <w:spacing w:before="0" w:beforeAutospacing="0" w:after="0" w:afterAutospacing="0"/>
        <w:ind w:hanging="720"/>
        <w:jc w:val="both"/>
        <w:textAlignment w:val="baseline"/>
        <w:rPr>
          <w:sz w:val="21"/>
          <w:szCs w:val="21"/>
        </w:rPr>
      </w:pPr>
      <w:r w:rsidRPr="00852F7F">
        <w:rPr>
          <w:sz w:val="21"/>
          <w:szCs w:val="21"/>
        </w:rPr>
        <w:t>To assure that all collaborating investigators and other key research personnel involved in the research study are fully informed regarding: (</w:t>
      </w:r>
      <w:proofErr w:type="spellStart"/>
      <w:r w:rsidRPr="00852F7F">
        <w:rPr>
          <w:sz w:val="21"/>
          <w:szCs w:val="21"/>
        </w:rPr>
        <w:t>i</w:t>
      </w:r>
      <w:proofErr w:type="spellEnd"/>
      <w:r w:rsidRPr="00852F7F">
        <w:rPr>
          <w:sz w:val="21"/>
          <w:szCs w:val="21"/>
        </w:rPr>
        <w:t>) the study procedures; (ii) informed consent requirements; (iii) the potential adverse events associated with study participation and the steps necessary to minimize potential risks; (iv) reporting requirements for unanticipated problems; and (e) data collection and record-keeping requirements.</w:t>
      </w:r>
    </w:p>
    <w:p w14:paraId="3A9ED166" w14:textId="223E3AD6" w:rsidR="00852F7F" w:rsidRPr="00852F7F" w:rsidRDefault="00852F7F" w:rsidP="00852F7F">
      <w:pPr>
        <w:pStyle w:val="paragraph"/>
        <w:numPr>
          <w:ilvl w:val="0"/>
          <w:numId w:val="19"/>
        </w:numPr>
        <w:tabs>
          <w:tab w:val="clear" w:pos="720"/>
        </w:tabs>
        <w:spacing w:before="0" w:beforeAutospacing="0" w:after="0" w:afterAutospacing="0"/>
        <w:ind w:hanging="720"/>
        <w:jc w:val="both"/>
        <w:textAlignment w:val="baseline"/>
        <w:rPr>
          <w:sz w:val="21"/>
          <w:szCs w:val="21"/>
        </w:rPr>
      </w:pPr>
      <w:r w:rsidRPr="00852F7F">
        <w:rPr>
          <w:sz w:val="21"/>
          <w:szCs w:val="21"/>
        </w:rPr>
        <w:t>To assure that all key research personnel personally complete required training regarding the protection of human subjects prior to their initiation of study activities.</w:t>
      </w:r>
    </w:p>
    <w:p w14:paraId="39C2CB53" w14:textId="4C138FA7" w:rsidR="00852F7F" w:rsidRPr="00852F7F" w:rsidRDefault="00852F7F" w:rsidP="00852F7F">
      <w:pPr>
        <w:pStyle w:val="paragraph"/>
        <w:numPr>
          <w:ilvl w:val="0"/>
          <w:numId w:val="19"/>
        </w:numPr>
        <w:tabs>
          <w:tab w:val="clear" w:pos="720"/>
        </w:tabs>
        <w:spacing w:before="0" w:beforeAutospacing="0" w:after="0" w:afterAutospacing="0"/>
        <w:ind w:hanging="720"/>
        <w:jc w:val="both"/>
        <w:textAlignment w:val="baseline"/>
        <w:rPr>
          <w:sz w:val="21"/>
          <w:szCs w:val="21"/>
        </w:rPr>
      </w:pPr>
      <w:r w:rsidRPr="00852F7F">
        <w:rPr>
          <w:sz w:val="21"/>
          <w:szCs w:val="21"/>
        </w:rPr>
        <w:t>To disclose to the IRB all conflicts of interest as defined in institutional policy that may relate to the conduct of the research</w:t>
      </w:r>
    </w:p>
    <w:p w14:paraId="76B5D5F9" w14:textId="1823002F" w:rsidR="00852F7F" w:rsidRPr="00852F7F" w:rsidRDefault="00852F7F" w:rsidP="00852F7F">
      <w:pPr>
        <w:pStyle w:val="paragraph"/>
        <w:numPr>
          <w:ilvl w:val="0"/>
          <w:numId w:val="19"/>
        </w:numPr>
        <w:tabs>
          <w:tab w:val="clear" w:pos="720"/>
        </w:tabs>
        <w:spacing w:before="0" w:beforeAutospacing="0" w:after="0" w:afterAutospacing="0"/>
        <w:ind w:hanging="720"/>
        <w:jc w:val="both"/>
        <w:textAlignment w:val="baseline"/>
        <w:rPr>
          <w:sz w:val="21"/>
          <w:szCs w:val="21"/>
        </w:rPr>
      </w:pPr>
      <w:r w:rsidRPr="00852F7F">
        <w:rPr>
          <w:sz w:val="21"/>
          <w:szCs w:val="21"/>
        </w:rPr>
        <w:t>To permit inspection and audit of all records related to the conduct of the study by authorized representatives of the IRB and departments or agencies supporting or conducting the research.</w:t>
      </w:r>
    </w:p>
    <w:p w14:paraId="7349CBE8" w14:textId="3666538B" w:rsidR="006F47F5" w:rsidRPr="00852F7F" w:rsidRDefault="006F47F5" w:rsidP="00EE251A">
      <w:pPr>
        <w:rPr>
          <w:rFonts w:ascii="Times New Roman" w:hAnsi="Times New Roman" w:cs="Times New Roman"/>
          <w:b/>
          <w:bCs/>
          <w:sz w:val="21"/>
          <w:szCs w:val="21"/>
        </w:rPr>
      </w:pPr>
    </w:p>
    <w:p w14:paraId="771E70D2" w14:textId="77777777" w:rsidR="009B03C8" w:rsidRPr="00852F7F" w:rsidRDefault="009B03C8" w:rsidP="00EE251A">
      <w:pPr>
        <w:rPr>
          <w:rFonts w:ascii="Times New Roman" w:hAnsi="Times New Roman" w:cs="Times New Roman"/>
          <w:b/>
          <w:bCs/>
          <w:sz w:val="21"/>
          <w:szCs w:val="21"/>
        </w:rPr>
      </w:pPr>
    </w:p>
    <w:p w14:paraId="4C00ECA9" w14:textId="77777777" w:rsidR="009B03C8" w:rsidRPr="00852F7F" w:rsidRDefault="009B03C8" w:rsidP="00EE251A">
      <w:pPr>
        <w:rPr>
          <w:rFonts w:ascii="Times New Roman" w:hAnsi="Times New Roman" w:cs="Times New Roman"/>
          <w:b/>
          <w:bCs/>
          <w:sz w:val="21"/>
          <w:szCs w:val="21"/>
        </w:rPr>
      </w:pPr>
    </w:p>
    <w:p w14:paraId="1D8FCFB0" w14:textId="2EFF0941" w:rsidR="009B03C8" w:rsidRPr="00852F7F" w:rsidRDefault="009B03C8" w:rsidP="00EE251A">
      <w:pPr>
        <w:rPr>
          <w:rFonts w:ascii="Times New Roman" w:hAnsi="Times New Roman" w:cs="Times New Roman"/>
          <w:b/>
          <w:bCs/>
          <w:sz w:val="21"/>
          <w:szCs w:val="21"/>
        </w:rPr>
      </w:pPr>
      <w:r w:rsidRPr="00852F7F">
        <w:rPr>
          <w:rFonts w:ascii="Times New Roman" w:hAnsi="Times New Roman" w:cs="Times New Roman"/>
          <w:b/>
          <w:bCs/>
          <w:sz w:val="21"/>
          <w:szCs w:val="21"/>
        </w:rPr>
        <w:t>INVESTIGATOR(S) SIGNATURES:</w:t>
      </w:r>
    </w:p>
    <w:p w14:paraId="1CF17DFA" w14:textId="77777777" w:rsidR="003C0ABF" w:rsidRPr="00852F7F" w:rsidRDefault="003C0ABF" w:rsidP="00EE251A">
      <w:pPr>
        <w:rPr>
          <w:rFonts w:ascii="Times New Roman" w:hAnsi="Times New Roman" w:cs="Times New Roman"/>
          <w:b/>
          <w:bCs/>
          <w:sz w:val="21"/>
          <w:szCs w:val="21"/>
        </w:rPr>
      </w:pPr>
    </w:p>
    <w:tbl>
      <w:tblPr>
        <w:tblStyle w:val="TableGrid"/>
        <w:tblW w:w="0" w:type="auto"/>
        <w:tblLook w:val="04A0" w:firstRow="1" w:lastRow="0" w:firstColumn="1" w:lastColumn="0" w:noHBand="0" w:noVBand="1"/>
      </w:tblPr>
      <w:tblGrid>
        <w:gridCol w:w="5035"/>
        <w:gridCol w:w="3960"/>
      </w:tblGrid>
      <w:tr w:rsidR="00BE46E9" w:rsidRPr="00852F7F" w14:paraId="68485CCF" w14:textId="77777777" w:rsidTr="00BE46E9">
        <w:tc>
          <w:tcPr>
            <w:tcW w:w="5035" w:type="dxa"/>
            <w:shd w:val="pct5" w:color="auto" w:fill="auto"/>
          </w:tcPr>
          <w:p w14:paraId="58561E85" w14:textId="27CC172D" w:rsidR="00BE46E9" w:rsidRPr="00852F7F" w:rsidRDefault="00DA22D0" w:rsidP="003C0ABF">
            <w:pPr>
              <w:jc w:val="center"/>
              <w:rPr>
                <w:rFonts w:ascii="Times New Roman" w:hAnsi="Times New Roman" w:cs="Times New Roman"/>
                <w:b/>
                <w:bCs/>
                <w:sz w:val="21"/>
                <w:szCs w:val="21"/>
              </w:rPr>
            </w:pPr>
            <w:r>
              <w:rPr>
                <w:rFonts w:ascii="Times New Roman" w:hAnsi="Times New Roman" w:cs="Times New Roman"/>
                <w:b/>
                <w:bCs/>
                <w:sz w:val="21"/>
                <w:szCs w:val="21"/>
              </w:rPr>
              <w:t xml:space="preserve">Principal </w:t>
            </w:r>
            <w:bookmarkStart w:id="0" w:name="_GoBack"/>
            <w:bookmarkEnd w:id="0"/>
            <w:r w:rsidR="00BE46E9" w:rsidRPr="00852F7F">
              <w:rPr>
                <w:rFonts w:ascii="Times New Roman" w:hAnsi="Times New Roman" w:cs="Times New Roman"/>
                <w:b/>
                <w:bCs/>
                <w:sz w:val="21"/>
                <w:szCs w:val="21"/>
              </w:rPr>
              <w:t>Investigator Name</w:t>
            </w:r>
          </w:p>
        </w:tc>
        <w:tc>
          <w:tcPr>
            <w:tcW w:w="3960" w:type="dxa"/>
            <w:shd w:val="pct5" w:color="auto" w:fill="auto"/>
          </w:tcPr>
          <w:p w14:paraId="26355D48" w14:textId="75D07BD1" w:rsidR="00BE46E9" w:rsidRPr="00852F7F" w:rsidRDefault="00BE46E9" w:rsidP="003C0ABF">
            <w:pPr>
              <w:jc w:val="center"/>
              <w:rPr>
                <w:rFonts w:ascii="Times New Roman" w:hAnsi="Times New Roman" w:cs="Times New Roman"/>
                <w:b/>
                <w:bCs/>
                <w:sz w:val="21"/>
                <w:szCs w:val="21"/>
              </w:rPr>
            </w:pPr>
            <w:r w:rsidRPr="00852F7F">
              <w:rPr>
                <w:rFonts w:ascii="Times New Roman" w:hAnsi="Times New Roman" w:cs="Times New Roman"/>
                <w:b/>
                <w:bCs/>
                <w:sz w:val="21"/>
                <w:szCs w:val="21"/>
              </w:rPr>
              <w:t>Signature Date</w:t>
            </w:r>
          </w:p>
        </w:tc>
      </w:tr>
      <w:tr w:rsidR="00BE46E9" w:rsidRPr="00852F7F" w14:paraId="56FA2C2D" w14:textId="77777777" w:rsidTr="00BE46E9">
        <w:tc>
          <w:tcPr>
            <w:tcW w:w="5035" w:type="dxa"/>
          </w:tcPr>
          <w:p w14:paraId="15DD6E37" w14:textId="77777777" w:rsidR="00BE46E9" w:rsidRPr="00852F7F" w:rsidRDefault="00BE46E9" w:rsidP="003C0ABF">
            <w:pPr>
              <w:pBdr>
                <w:bottom w:val="single" w:sz="12" w:space="1" w:color="auto"/>
              </w:pBdr>
              <w:rPr>
                <w:rFonts w:ascii="Times New Roman" w:hAnsi="Times New Roman" w:cs="Times New Roman"/>
                <w:b/>
                <w:bCs/>
                <w:sz w:val="21"/>
                <w:szCs w:val="21"/>
              </w:rPr>
            </w:pPr>
          </w:p>
          <w:p w14:paraId="6AD9DF23" w14:textId="77777777" w:rsidR="00BE46E9" w:rsidRPr="00852F7F" w:rsidRDefault="00BE46E9" w:rsidP="003C0ABF">
            <w:pPr>
              <w:pBdr>
                <w:bottom w:val="single" w:sz="12" w:space="1" w:color="auto"/>
              </w:pBdr>
              <w:rPr>
                <w:rFonts w:ascii="Times New Roman" w:hAnsi="Times New Roman" w:cs="Times New Roman"/>
                <w:b/>
                <w:bCs/>
                <w:sz w:val="21"/>
                <w:szCs w:val="21"/>
              </w:rPr>
            </w:pPr>
          </w:p>
          <w:p w14:paraId="0167B52D" w14:textId="5950DBFE" w:rsidR="00BE46E9" w:rsidRPr="00852F7F" w:rsidRDefault="00BE46E9" w:rsidP="003C0ABF">
            <w:pPr>
              <w:rPr>
                <w:rFonts w:ascii="Times New Roman" w:hAnsi="Times New Roman" w:cs="Times New Roman"/>
                <w:b/>
                <w:bCs/>
                <w:sz w:val="21"/>
                <w:szCs w:val="21"/>
              </w:rPr>
            </w:pPr>
            <w:r w:rsidRPr="00852F7F">
              <w:rPr>
                <w:rFonts w:ascii="Times New Roman" w:hAnsi="Times New Roman" w:cs="Times New Roman"/>
                <w:b/>
                <w:bCs/>
                <w:sz w:val="21"/>
                <w:szCs w:val="21"/>
              </w:rPr>
              <w:t>Investigator Printed Name</w:t>
            </w:r>
          </w:p>
          <w:p w14:paraId="09CE7D4E" w14:textId="77777777" w:rsidR="00BE46E9" w:rsidRPr="00852F7F" w:rsidRDefault="00BE46E9" w:rsidP="003C0ABF">
            <w:pPr>
              <w:rPr>
                <w:rFonts w:ascii="Times New Roman" w:hAnsi="Times New Roman" w:cs="Times New Roman"/>
                <w:b/>
                <w:bCs/>
                <w:sz w:val="21"/>
                <w:szCs w:val="21"/>
              </w:rPr>
            </w:pPr>
          </w:p>
          <w:p w14:paraId="52039DA5" w14:textId="77777777" w:rsidR="00BE46E9" w:rsidRPr="00852F7F" w:rsidRDefault="00BE46E9" w:rsidP="00E04E69">
            <w:pPr>
              <w:pBdr>
                <w:bottom w:val="single" w:sz="12" w:space="1" w:color="auto"/>
              </w:pBdr>
              <w:rPr>
                <w:rFonts w:ascii="Times New Roman" w:hAnsi="Times New Roman" w:cs="Times New Roman"/>
                <w:b/>
                <w:bCs/>
                <w:sz w:val="21"/>
                <w:szCs w:val="21"/>
              </w:rPr>
            </w:pPr>
          </w:p>
          <w:p w14:paraId="1DF77F98" w14:textId="4CFA0CED" w:rsidR="00BE46E9" w:rsidRPr="00852F7F" w:rsidRDefault="00BE46E9" w:rsidP="003C0ABF">
            <w:pPr>
              <w:rPr>
                <w:rFonts w:ascii="Times New Roman" w:hAnsi="Times New Roman" w:cs="Times New Roman"/>
                <w:b/>
                <w:bCs/>
                <w:sz w:val="21"/>
                <w:szCs w:val="21"/>
              </w:rPr>
            </w:pPr>
            <w:r w:rsidRPr="00852F7F">
              <w:rPr>
                <w:rFonts w:ascii="Times New Roman" w:hAnsi="Times New Roman" w:cs="Times New Roman"/>
                <w:b/>
                <w:bCs/>
                <w:sz w:val="21"/>
                <w:szCs w:val="21"/>
              </w:rPr>
              <w:t>Investigator Signature</w:t>
            </w:r>
          </w:p>
          <w:p w14:paraId="3B1D603E" w14:textId="43523388" w:rsidR="00BE46E9" w:rsidRPr="00852F7F" w:rsidRDefault="00BE46E9" w:rsidP="003C0ABF">
            <w:pPr>
              <w:rPr>
                <w:rFonts w:ascii="Times New Roman" w:hAnsi="Times New Roman" w:cs="Times New Roman"/>
                <w:b/>
                <w:bCs/>
                <w:sz w:val="21"/>
                <w:szCs w:val="21"/>
              </w:rPr>
            </w:pPr>
          </w:p>
        </w:tc>
        <w:tc>
          <w:tcPr>
            <w:tcW w:w="3960" w:type="dxa"/>
          </w:tcPr>
          <w:p w14:paraId="15B14483" w14:textId="77777777" w:rsidR="00BE46E9" w:rsidRPr="00852F7F" w:rsidRDefault="00BE46E9" w:rsidP="003C0ABF">
            <w:pPr>
              <w:pBdr>
                <w:bottom w:val="single" w:sz="12" w:space="1" w:color="auto"/>
              </w:pBdr>
              <w:rPr>
                <w:rFonts w:ascii="Times New Roman" w:hAnsi="Times New Roman" w:cs="Times New Roman"/>
                <w:b/>
                <w:bCs/>
                <w:sz w:val="21"/>
                <w:szCs w:val="21"/>
              </w:rPr>
            </w:pPr>
          </w:p>
          <w:p w14:paraId="4C9E1547" w14:textId="77777777" w:rsidR="00BE46E9" w:rsidRPr="00852F7F" w:rsidRDefault="00BE46E9" w:rsidP="003C0ABF">
            <w:pPr>
              <w:pBdr>
                <w:bottom w:val="single" w:sz="12" w:space="1" w:color="auto"/>
              </w:pBdr>
              <w:rPr>
                <w:rFonts w:ascii="Times New Roman" w:hAnsi="Times New Roman" w:cs="Times New Roman"/>
                <w:b/>
                <w:bCs/>
                <w:sz w:val="21"/>
                <w:szCs w:val="21"/>
              </w:rPr>
            </w:pPr>
          </w:p>
          <w:p w14:paraId="7687E8C8" w14:textId="67A32DC4" w:rsidR="00BE46E9" w:rsidRPr="00852F7F" w:rsidRDefault="00BE46E9" w:rsidP="003C0ABF">
            <w:pPr>
              <w:rPr>
                <w:rFonts w:ascii="Times New Roman" w:hAnsi="Times New Roman" w:cs="Times New Roman"/>
                <w:b/>
                <w:bCs/>
                <w:sz w:val="21"/>
                <w:szCs w:val="21"/>
              </w:rPr>
            </w:pPr>
            <w:r w:rsidRPr="00852F7F">
              <w:rPr>
                <w:rFonts w:ascii="Times New Roman" w:hAnsi="Times New Roman" w:cs="Times New Roman"/>
                <w:b/>
                <w:bCs/>
                <w:sz w:val="21"/>
                <w:szCs w:val="21"/>
              </w:rPr>
              <w:t>Date</w:t>
            </w:r>
          </w:p>
        </w:tc>
      </w:tr>
    </w:tbl>
    <w:p w14:paraId="1D802E1A" w14:textId="77777777" w:rsidR="00E04E69" w:rsidRPr="00852F7F" w:rsidRDefault="00E04E69" w:rsidP="00EE251A">
      <w:pPr>
        <w:rPr>
          <w:rFonts w:ascii="Times New Roman" w:hAnsi="Times New Roman" w:cs="Times New Roman"/>
          <w:b/>
          <w:bCs/>
          <w:sz w:val="21"/>
          <w:szCs w:val="21"/>
        </w:rPr>
      </w:pPr>
    </w:p>
    <w:p w14:paraId="1D38D9E0" w14:textId="27258E79" w:rsidR="000700B3" w:rsidRPr="00852F7F" w:rsidRDefault="000700B3" w:rsidP="000700B3">
      <w:pPr>
        <w:ind w:left="4320"/>
        <w:rPr>
          <w:rFonts w:ascii="Times New Roman" w:hAnsi="Times New Roman" w:cs="Times New Roman"/>
          <w:b/>
          <w:bCs/>
          <w:sz w:val="21"/>
          <w:szCs w:val="21"/>
        </w:rPr>
      </w:pPr>
    </w:p>
    <w:sectPr w:rsidR="000700B3" w:rsidRPr="00852F7F" w:rsidSect="00FB1FA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FFA6" w14:textId="77777777" w:rsidR="00402C6D" w:rsidRDefault="00402C6D" w:rsidP="006F47F5">
      <w:pPr>
        <w:spacing w:after="0" w:line="240" w:lineRule="auto"/>
      </w:pPr>
      <w:r>
        <w:separator/>
      </w:r>
    </w:p>
  </w:endnote>
  <w:endnote w:type="continuationSeparator" w:id="0">
    <w:p w14:paraId="36D54009" w14:textId="77777777" w:rsidR="00402C6D" w:rsidRDefault="00402C6D" w:rsidP="006F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w:altName w:val="﷽﷽﷽﷽﷽﷽릀ׄ怀"/>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F8B8E" w14:textId="06D7AC80" w:rsidR="009F400F" w:rsidRDefault="009F400F" w:rsidP="009F400F">
    <w:pPr>
      <w:pStyle w:val="Footer"/>
      <w:jc w:val="center"/>
    </w:pPr>
    <w:r w:rsidRPr="00067D6F">
      <w:rPr>
        <w:rFonts w:ascii="Times New Roman" w:eastAsia="Times New Roman" w:hAnsi="Times New Roman"/>
        <w:sz w:val="20"/>
      </w:rPr>
      <w:t xml:space="preserve">Page </w:t>
    </w:r>
    <w:r w:rsidRPr="00067D6F">
      <w:rPr>
        <w:rFonts w:ascii="Times New Roman" w:eastAsia="Times New Roman" w:hAnsi="Times New Roman"/>
        <w:sz w:val="20"/>
      </w:rPr>
      <w:fldChar w:fldCharType="begin"/>
    </w:r>
    <w:r w:rsidRPr="00067D6F">
      <w:rPr>
        <w:rFonts w:ascii="Times New Roman" w:eastAsia="Times New Roman" w:hAnsi="Times New Roman"/>
        <w:sz w:val="20"/>
      </w:rPr>
      <w:instrText xml:space="preserve"> PAGE </w:instrText>
    </w:r>
    <w:r w:rsidRPr="00067D6F">
      <w:rPr>
        <w:rFonts w:ascii="Times New Roman" w:eastAsia="Times New Roman" w:hAnsi="Times New Roman"/>
        <w:sz w:val="20"/>
      </w:rPr>
      <w:fldChar w:fldCharType="separate"/>
    </w:r>
    <w:r w:rsidR="00DA22D0">
      <w:rPr>
        <w:rFonts w:ascii="Times New Roman" w:eastAsia="Times New Roman" w:hAnsi="Times New Roman"/>
        <w:noProof/>
        <w:sz w:val="20"/>
      </w:rPr>
      <w:t>1</w:t>
    </w:r>
    <w:r w:rsidRPr="00067D6F">
      <w:rPr>
        <w:rFonts w:ascii="Times New Roman" w:eastAsia="Times New Roman" w:hAnsi="Times New Roman"/>
        <w:sz w:val="20"/>
      </w:rPr>
      <w:fldChar w:fldCharType="end"/>
    </w:r>
    <w:r w:rsidRPr="00067D6F">
      <w:rPr>
        <w:rFonts w:ascii="Times New Roman" w:eastAsia="Times New Roman" w:hAnsi="Times New Roman"/>
        <w:sz w:val="20"/>
      </w:rPr>
      <w:t xml:space="preserve"> of </w:t>
    </w:r>
    <w:r w:rsidRPr="00067D6F">
      <w:rPr>
        <w:rFonts w:ascii="Times New Roman" w:eastAsia="Times New Roman" w:hAnsi="Times New Roman"/>
        <w:sz w:val="20"/>
      </w:rPr>
      <w:fldChar w:fldCharType="begin"/>
    </w:r>
    <w:r w:rsidRPr="00067D6F">
      <w:rPr>
        <w:rFonts w:ascii="Times New Roman" w:eastAsia="Times New Roman" w:hAnsi="Times New Roman"/>
        <w:sz w:val="20"/>
      </w:rPr>
      <w:instrText xml:space="preserve"> NUMPAGES </w:instrText>
    </w:r>
    <w:r w:rsidRPr="00067D6F">
      <w:rPr>
        <w:rFonts w:ascii="Times New Roman" w:eastAsia="Times New Roman" w:hAnsi="Times New Roman"/>
        <w:sz w:val="20"/>
      </w:rPr>
      <w:fldChar w:fldCharType="separate"/>
    </w:r>
    <w:r w:rsidR="00DA22D0">
      <w:rPr>
        <w:rFonts w:ascii="Times New Roman" w:eastAsia="Times New Roman" w:hAnsi="Times New Roman"/>
        <w:noProof/>
        <w:sz w:val="20"/>
      </w:rPr>
      <w:t>2</w:t>
    </w:r>
    <w:r w:rsidRPr="00067D6F">
      <w:rPr>
        <w:rFonts w:ascii="Times New Roman" w:eastAsia="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9424E" w14:textId="77777777" w:rsidR="00402C6D" w:rsidRDefault="00402C6D" w:rsidP="006F47F5">
      <w:pPr>
        <w:spacing w:after="0" w:line="240" w:lineRule="auto"/>
      </w:pPr>
      <w:r>
        <w:separator/>
      </w:r>
    </w:p>
  </w:footnote>
  <w:footnote w:type="continuationSeparator" w:id="0">
    <w:p w14:paraId="0A5A66E2" w14:textId="77777777" w:rsidR="00402C6D" w:rsidRDefault="00402C6D" w:rsidP="006F4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bottom w:val="single" w:sz="4" w:space="0" w:color="auto"/>
      </w:tblBorders>
      <w:tblLook w:val="01E0" w:firstRow="1" w:lastRow="1" w:firstColumn="1" w:lastColumn="1" w:noHBand="0" w:noVBand="0"/>
    </w:tblPr>
    <w:tblGrid>
      <w:gridCol w:w="4532"/>
      <w:gridCol w:w="4720"/>
    </w:tblGrid>
    <w:tr w:rsidR="006F47F5" w:rsidRPr="00A971E1" w14:paraId="59F41B45" w14:textId="77777777" w:rsidTr="00247BDE">
      <w:trPr>
        <w:trHeight w:val="900"/>
      </w:trPr>
      <w:tc>
        <w:tcPr>
          <w:tcW w:w="4680" w:type="dxa"/>
          <w:vAlign w:val="bottom"/>
        </w:tcPr>
        <w:p w14:paraId="64320363" w14:textId="77777777" w:rsidR="006F47F5" w:rsidRPr="00A971E1" w:rsidRDefault="006F47F5" w:rsidP="006F47F5">
          <w:pPr>
            <w:pStyle w:val="Header"/>
            <w:rPr>
              <w:rFonts w:ascii="Times" w:hAnsi="Times"/>
            </w:rPr>
          </w:pPr>
          <w:r>
            <w:rPr>
              <w:rFonts w:ascii="Times" w:hAnsi="Times"/>
              <w:noProof/>
            </w:rPr>
            <w:drawing>
              <wp:inline distT="0" distB="0" distL="0" distR="0" wp14:anchorId="04C70022" wp14:editId="615CD890">
                <wp:extent cx="673100" cy="785805"/>
                <wp:effectExtent l="0" t="0" r="0" b="1905"/>
                <wp:docPr id="1217480485" name="Picture 2" descr="A black square with white text and a light bul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80485" name="Picture 2" descr="A black square with white text and a light bulb&#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3657" cy="809804"/>
                        </a:xfrm>
                        <a:prstGeom prst="rect">
                          <a:avLst/>
                        </a:prstGeom>
                      </pic:spPr>
                    </pic:pic>
                  </a:graphicData>
                </a:graphic>
              </wp:inline>
            </w:drawing>
          </w:r>
        </w:p>
      </w:tc>
      <w:tc>
        <w:tcPr>
          <w:tcW w:w="4788" w:type="dxa"/>
        </w:tcPr>
        <w:p w14:paraId="6DB8C7C7" w14:textId="77777777" w:rsidR="006F47F5" w:rsidRDefault="006F47F5" w:rsidP="006F47F5">
          <w:pPr>
            <w:pStyle w:val="Header"/>
            <w:jc w:val="right"/>
            <w:rPr>
              <w:rFonts w:ascii="Times" w:hAnsi="Times"/>
            </w:rPr>
          </w:pPr>
        </w:p>
        <w:p w14:paraId="64D4FCD3" w14:textId="77777777" w:rsidR="006F47F5" w:rsidRPr="00A971E1" w:rsidRDefault="006F47F5" w:rsidP="006F47F5">
          <w:pPr>
            <w:pStyle w:val="Header"/>
            <w:jc w:val="right"/>
            <w:rPr>
              <w:rFonts w:ascii="Times" w:hAnsi="Times"/>
            </w:rPr>
          </w:pPr>
          <w:r>
            <w:rPr>
              <w:rFonts w:ascii="Times" w:hAnsi="Times"/>
              <w:noProof/>
            </w:rPr>
            <w:drawing>
              <wp:inline distT="0" distB="0" distL="0" distR="0" wp14:anchorId="41ECFFB4" wp14:editId="3C1A6BBE">
                <wp:extent cx="1905568" cy="3572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950987" cy="365809"/>
                        </a:xfrm>
                        <a:prstGeom prst="rect">
                          <a:avLst/>
                        </a:prstGeom>
                      </pic:spPr>
                    </pic:pic>
                  </a:graphicData>
                </a:graphic>
              </wp:inline>
            </w:drawing>
          </w:r>
        </w:p>
      </w:tc>
    </w:tr>
  </w:tbl>
  <w:p w14:paraId="4618AED9" w14:textId="77777777" w:rsidR="006F47F5" w:rsidRDefault="006F4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29D"/>
    <w:multiLevelType w:val="hybridMultilevel"/>
    <w:tmpl w:val="7FD461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3661BA"/>
    <w:multiLevelType w:val="multilevel"/>
    <w:tmpl w:val="AD7AC16A"/>
    <w:lvl w:ilvl="0">
      <w:start w:val="3"/>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5915A9"/>
    <w:multiLevelType w:val="multilevel"/>
    <w:tmpl w:val="769A735A"/>
    <w:lvl w:ilvl="0">
      <w:start w:val="1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9D15C7"/>
    <w:multiLevelType w:val="multilevel"/>
    <w:tmpl w:val="72C8D144"/>
    <w:lvl w:ilvl="0">
      <w:start w:val="1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69F28FE"/>
    <w:multiLevelType w:val="multilevel"/>
    <w:tmpl w:val="8EFA91EE"/>
    <w:lvl w:ilvl="0">
      <w:start w:val="1"/>
      <w:numFmt w:val="upperRoman"/>
      <w:lvlText w:val="%1. "/>
      <w:lvlJc w:val="left"/>
      <w:pPr>
        <w:tabs>
          <w:tab w:val="num" w:pos="1440"/>
        </w:tabs>
        <w:ind w:left="1440" w:hanging="720"/>
      </w:pPr>
      <w:rPr>
        <w:rFonts w:ascii="Times New Roman" w:hAnsi="Times New Roman" w:hint="default"/>
        <w:b w:val="0"/>
        <w:i w:val="0"/>
        <w:sz w:val="24"/>
        <w:u w:val="none"/>
      </w:rPr>
    </w:lvl>
    <w:lvl w:ilvl="1">
      <w:start w:val="1"/>
      <w:numFmt w:val="decimal"/>
      <w:lvlText w:val="%2."/>
      <w:lvlJc w:val="left"/>
      <w:pPr>
        <w:tabs>
          <w:tab w:val="num" w:pos="2160"/>
        </w:tabs>
        <w:ind w:left="2160" w:hanging="720"/>
      </w:pPr>
      <w:rPr>
        <w:rFonts w:hint="default"/>
        <w:b w:val="0"/>
        <w:i w:val="0"/>
      </w:rPr>
    </w:lvl>
    <w:lvl w:ilvl="2">
      <w:start w:val="1"/>
      <w:numFmt w:val="lowerLetter"/>
      <w:lvlText w:val="%3."/>
      <w:lvlJc w:val="left"/>
      <w:pPr>
        <w:tabs>
          <w:tab w:val="num" w:pos="2880"/>
        </w:tabs>
        <w:ind w:left="2880" w:hanging="720"/>
      </w:pPr>
      <w:rPr>
        <w:rFonts w:hint="default"/>
        <w:sz w:val="24"/>
      </w:rPr>
    </w:lvl>
    <w:lvl w:ilvl="3">
      <w:start w:val="1"/>
      <w:numFmt w:val="lowerRoman"/>
      <w:lvlText w:val="%4."/>
      <w:lvlJc w:val="left"/>
      <w:pPr>
        <w:tabs>
          <w:tab w:val="num" w:pos="3600"/>
        </w:tabs>
        <w:ind w:left="3600" w:hanging="720"/>
      </w:pPr>
      <w:rPr>
        <w:rFonts w:hint="default"/>
      </w:rPr>
    </w:lvl>
    <w:lvl w:ilvl="4">
      <w:start w:val="3"/>
      <w:numFmt w:val="decimal"/>
      <w:lvlText w:val="%5)."/>
      <w:lvlJc w:val="left"/>
      <w:pPr>
        <w:tabs>
          <w:tab w:val="num" w:pos="4320"/>
        </w:tabs>
        <w:ind w:left="4320" w:hanging="720"/>
      </w:pPr>
      <w:rPr>
        <w:rFonts w:hint="default"/>
      </w:rPr>
    </w:lvl>
    <w:lvl w:ilvl="5">
      <w:start w:val="1"/>
      <w:numFmt w:val="upperLetter"/>
      <w:lvlText w:val="%6)."/>
      <w:lvlJc w:val="right"/>
      <w:pPr>
        <w:tabs>
          <w:tab w:val="num" w:pos="5760"/>
        </w:tabs>
        <w:ind w:left="5760" w:hanging="7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C0B2484"/>
    <w:multiLevelType w:val="hybridMultilevel"/>
    <w:tmpl w:val="FEFEFE7A"/>
    <w:lvl w:ilvl="0" w:tplc="3680559A">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A42B36"/>
    <w:multiLevelType w:val="multilevel"/>
    <w:tmpl w:val="EFA4E8F4"/>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6D81F10"/>
    <w:multiLevelType w:val="multilevel"/>
    <w:tmpl w:val="A2A0876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8540928"/>
    <w:multiLevelType w:val="multilevel"/>
    <w:tmpl w:val="C48E2A50"/>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8D43494"/>
    <w:multiLevelType w:val="multilevel"/>
    <w:tmpl w:val="A9FEF9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1D642C9D"/>
    <w:multiLevelType w:val="multilevel"/>
    <w:tmpl w:val="65169C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F2C15A0"/>
    <w:multiLevelType w:val="multilevel"/>
    <w:tmpl w:val="9B50F008"/>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46847A2"/>
    <w:multiLevelType w:val="multilevel"/>
    <w:tmpl w:val="B1EC28AE"/>
    <w:lvl w:ilvl="0">
      <w:start w:val="1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8DE48EF"/>
    <w:multiLevelType w:val="multilevel"/>
    <w:tmpl w:val="54BE93B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B090E92"/>
    <w:multiLevelType w:val="multilevel"/>
    <w:tmpl w:val="5A04C9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B8D1BD0"/>
    <w:multiLevelType w:val="multilevel"/>
    <w:tmpl w:val="82FA27F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F2D4A6B"/>
    <w:multiLevelType w:val="multilevel"/>
    <w:tmpl w:val="73A85BFC"/>
    <w:lvl w:ilvl="0">
      <w:start w:val="1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54865491"/>
    <w:multiLevelType w:val="multilevel"/>
    <w:tmpl w:val="049290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7AC3B5D"/>
    <w:multiLevelType w:val="multilevel"/>
    <w:tmpl w:val="CB5C0D08"/>
    <w:lvl w:ilvl="0">
      <w:start w:val="4"/>
      <w:numFmt w:val="upperLetter"/>
      <w:lvlText w:val="%1."/>
      <w:lvlJc w:val="left"/>
      <w:pPr>
        <w:tabs>
          <w:tab w:val="num" w:pos="720"/>
        </w:tabs>
        <w:ind w:left="720" w:hanging="360"/>
      </w:pPr>
    </w:lvl>
    <w:lvl w:ilvl="1">
      <w:start w:val="1"/>
      <w:numFmt w:val="decimal"/>
      <w:lvlText w:val="%2."/>
      <w:lvlJc w:val="left"/>
      <w:pPr>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6BB26C52"/>
    <w:multiLevelType w:val="multilevel"/>
    <w:tmpl w:val="887A5A42"/>
    <w:lvl w:ilvl="0">
      <w:start w:val="1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6C3456AE"/>
    <w:multiLevelType w:val="multilevel"/>
    <w:tmpl w:val="254EA216"/>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2CB236C"/>
    <w:multiLevelType w:val="multilevel"/>
    <w:tmpl w:val="54EA29F0"/>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732A5F33"/>
    <w:multiLevelType w:val="multilevel"/>
    <w:tmpl w:val="CB2AC6B6"/>
    <w:lvl w:ilvl="0">
      <w:start w:val="1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755928E3"/>
    <w:multiLevelType w:val="multilevel"/>
    <w:tmpl w:val="943C574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7D754EB0"/>
    <w:multiLevelType w:val="multilevel"/>
    <w:tmpl w:val="E05E27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9"/>
  </w:num>
  <w:num w:numId="2">
    <w:abstractNumId w:val="24"/>
  </w:num>
  <w:num w:numId="3">
    <w:abstractNumId w:val="7"/>
  </w:num>
  <w:num w:numId="4">
    <w:abstractNumId w:val="1"/>
  </w:num>
  <w:num w:numId="5">
    <w:abstractNumId w:val="18"/>
  </w:num>
  <w:num w:numId="6">
    <w:abstractNumId w:val="20"/>
  </w:num>
  <w:num w:numId="7">
    <w:abstractNumId w:val="21"/>
  </w:num>
  <w:num w:numId="8">
    <w:abstractNumId w:val="6"/>
  </w:num>
  <w:num w:numId="9">
    <w:abstractNumId w:val="15"/>
  </w:num>
  <w:num w:numId="10">
    <w:abstractNumId w:val="11"/>
  </w:num>
  <w:num w:numId="11">
    <w:abstractNumId w:val="8"/>
  </w:num>
  <w:num w:numId="12">
    <w:abstractNumId w:val="10"/>
  </w:num>
  <w:num w:numId="13">
    <w:abstractNumId w:val="14"/>
  </w:num>
  <w:num w:numId="14">
    <w:abstractNumId w:val="17"/>
  </w:num>
  <w:num w:numId="15">
    <w:abstractNumId w:val="13"/>
  </w:num>
  <w:num w:numId="16">
    <w:abstractNumId w:val="23"/>
  </w:num>
  <w:num w:numId="17">
    <w:abstractNumId w:val="3"/>
  </w:num>
  <w:num w:numId="18">
    <w:abstractNumId w:val="12"/>
  </w:num>
  <w:num w:numId="19">
    <w:abstractNumId w:val="22"/>
  </w:num>
  <w:num w:numId="20">
    <w:abstractNumId w:val="2"/>
  </w:num>
  <w:num w:numId="21">
    <w:abstractNumId w:val="16"/>
  </w:num>
  <w:num w:numId="22">
    <w:abstractNumId w:val="19"/>
  </w:num>
  <w:num w:numId="23">
    <w:abstractNumId w:val="0"/>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7F5"/>
    <w:rsid w:val="000035DB"/>
    <w:rsid w:val="00011D21"/>
    <w:rsid w:val="000354B7"/>
    <w:rsid w:val="00042FCF"/>
    <w:rsid w:val="000700B3"/>
    <w:rsid w:val="000A2285"/>
    <w:rsid w:val="000A31DB"/>
    <w:rsid w:val="000C0225"/>
    <w:rsid w:val="000F2B6A"/>
    <w:rsid w:val="0011262C"/>
    <w:rsid w:val="00116C5D"/>
    <w:rsid w:val="00160AD9"/>
    <w:rsid w:val="00164A57"/>
    <w:rsid w:val="001770A5"/>
    <w:rsid w:val="001A1137"/>
    <w:rsid w:val="001A53E8"/>
    <w:rsid w:val="001B0347"/>
    <w:rsid w:val="001C370C"/>
    <w:rsid w:val="001F58FE"/>
    <w:rsid w:val="002102D2"/>
    <w:rsid w:val="00214C32"/>
    <w:rsid w:val="00225AB4"/>
    <w:rsid w:val="00241CD2"/>
    <w:rsid w:val="00256D39"/>
    <w:rsid w:val="002730D4"/>
    <w:rsid w:val="00276339"/>
    <w:rsid w:val="0028634D"/>
    <w:rsid w:val="002B4ECA"/>
    <w:rsid w:val="00300D1E"/>
    <w:rsid w:val="0030214B"/>
    <w:rsid w:val="003035E2"/>
    <w:rsid w:val="003178C2"/>
    <w:rsid w:val="003239C5"/>
    <w:rsid w:val="003261C4"/>
    <w:rsid w:val="00333A78"/>
    <w:rsid w:val="00373C8C"/>
    <w:rsid w:val="00382509"/>
    <w:rsid w:val="00395B3B"/>
    <w:rsid w:val="003B2E3E"/>
    <w:rsid w:val="003B4E8F"/>
    <w:rsid w:val="003C0ABF"/>
    <w:rsid w:val="003F6C52"/>
    <w:rsid w:val="00402C6D"/>
    <w:rsid w:val="0044266F"/>
    <w:rsid w:val="00461BB6"/>
    <w:rsid w:val="00473B07"/>
    <w:rsid w:val="004A63B8"/>
    <w:rsid w:val="004B22AA"/>
    <w:rsid w:val="004D7A38"/>
    <w:rsid w:val="004F6DCF"/>
    <w:rsid w:val="0053399A"/>
    <w:rsid w:val="00534312"/>
    <w:rsid w:val="00534588"/>
    <w:rsid w:val="005673D1"/>
    <w:rsid w:val="00580984"/>
    <w:rsid w:val="005848ED"/>
    <w:rsid w:val="005A12DF"/>
    <w:rsid w:val="005A14EF"/>
    <w:rsid w:val="005A203C"/>
    <w:rsid w:val="005A50BF"/>
    <w:rsid w:val="005C63CC"/>
    <w:rsid w:val="005C6428"/>
    <w:rsid w:val="00601902"/>
    <w:rsid w:val="00607919"/>
    <w:rsid w:val="00615508"/>
    <w:rsid w:val="00633E02"/>
    <w:rsid w:val="00666017"/>
    <w:rsid w:val="00670277"/>
    <w:rsid w:val="00695A66"/>
    <w:rsid w:val="006E380A"/>
    <w:rsid w:val="006F417C"/>
    <w:rsid w:val="006F47F5"/>
    <w:rsid w:val="007227A9"/>
    <w:rsid w:val="0073237E"/>
    <w:rsid w:val="00736B00"/>
    <w:rsid w:val="007404B3"/>
    <w:rsid w:val="007523EF"/>
    <w:rsid w:val="00755ACD"/>
    <w:rsid w:val="00777247"/>
    <w:rsid w:val="007A6125"/>
    <w:rsid w:val="007B6F26"/>
    <w:rsid w:val="007E7517"/>
    <w:rsid w:val="00800C6A"/>
    <w:rsid w:val="00815A45"/>
    <w:rsid w:val="00826F29"/>
    <w:rsid w:val="00831577"/>
    <w:rsid w:val="00852F7F"/>
    <w:rsid w:val="00865F24"/>
    <w:rsid w:val="008C3433"/>
    <w:rsid w:val="008D5C3F"/>
    <w:rsid w:val="008E5FE7"/>
    <w:rsid w:val="008F0459"/>
    <w:rsid w:val="008F4C25"/>
    <w:rsid w:val="009166B0"/>
    <w:rsid w:val="00917E69"/>
    <w:rsid w:val="0092028A"/>
    <w:rsid w:val="00926B77"/>
    <w:rsid w:val="00952E6F"/>
    <w:rsid w:val="00960D3F"/>
    <w:rsid w:val="0096181B"/>
    <w:rsid w:val="009B03C8"/>
    <w:rsid w:val="009B416A"/>
    <w:rsid w:val="009C7C93"/>
    <w:rsid w:val="009F2838"/>
    <w:rsid w:val="009F400F"/>
    <w:rsid w:val="00A70DFE"/>
    <w:rsid w:val="00A84C92"/>
    <w:rsid w:val="00A85C41"/>
    <w:rsid w:val="00AA0C58"/>
    <w:rsid w:val="00AA75D6"/>
    <w:rsid w:val="00AB4F7D"/>
    <w:rsid w:val="00B23C9B"/>
    <w:rsid w:val="00B27836"/>
    <w:rsid w:val="00B43CD4"/>
    <w:rsid w:val="00B54B98"/>
    <w:rsid w:val="00B7104B"/>
    <w:rsid w:val="00BB636B"/>
    <w:rsid w:val="00BE46E9"/>
    <w:rsid w:val="00BF0BDD"/>
    <w:rsid w:val="00BF4EC9"/>
    <w:rsid w:val="00C112B0"/>
    <w:rsid w:val="00C36CA4"/>
    <w:rsid w:val="00CC1329"/>
    <w:rsid w:val="00CD48C1"/>
    <w:rsid w:val="00D26924"/>
    <w:rsid w:val="00D676F0"/>
    <w:rsid w:val="00D7463D"/>
    <w:rsid w:val="00DA22D0"/>
    <w:rsid w:val="00DB5AA0"/>
    <w:rsid w:val="00DD144C"/>
    <w:rsid w:val="00DE4582"/>
    <w:rsid w:val="00DF16E1"/>
    <w:rsid w:val="00E04DEF"/>
    <w:rsid w:val="00E04E69"/>
    <w:rsid w:val="00E420AE"/>
    <w:rsid w:val="00E60A57"/>
    <w:rsid w:val="00E627B8"/>
    <w:rsid w:val="00E80D62"/>
    <w:rsid w:val="00E90F9A"/>
    <w:rsid w:val="00EE251A"/>
    <w:rsid w:val="00EF0E72"/>
    <w:rsid w:val="00EF79F8"/>
    <w:rsid w:val="00F10B3E"/>
    <w:rsid w:val="00F21ED0"/>
    <w:rsid w:val="00F26A76"/>
    <w:rsid w:val="00F41BA9"/>
    <w:rsid w:val="00F43100"/>
    <w:rsid w:val="00F60578"/>
    <w:rsid w:val="00F90A4C"/>
    <w:rsid w:val="00F977E9"/>
    <w:rsid w:val="00FB1FAF"/>
    <w:rsid w:val="00FC761C"/>
    <w:rsid w:val="00FE0382"/>
    <w:rsid w:val="00FE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3660"/>
  <w15:chartTrackingRefBased/>
  <w15:docId w15:val="{803B0418-F9DD-8F48-BB29-201E20F0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F4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7F5"/>
    <w:rPr>
      <w:rFonts w:eastAsiaTheme="majorEastAsia" w:cstheme="majorBidi"/>
      <w:color w:val="272727" w:themeColor="text1" w:themeTint="D8"/>
    </w:rPr>
  </w:style>
  <w:style w:type="paragraph" w:styleId="Title">
    <w:name w:val="Title"/>
    <w:basedOn w:val="Normal"/>
    <w:next w:val="Normal"/>
    <w:link w:val="TitleChar"/>
    <w:uiPriority w:val="10"/>
    <w:qFormat/>
    <w:rsid w:val="006F4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7F5"/>
    <w:pPr>
      <w:spacing w:before="160"/>
      <w:jc w:val="center"/>
    </w:pPr>
    <w:rPr>
      <w:i/>
      <w:iCs/>
      <w:color w:val="404040" w:themeColor="text1" w:themeTint="BF"/>
    </w:rPr>
  </w:style>
  <w:style w:type="character" w:customStyle="1" w:styleId="QuoteChar">
    <w:name w:val="Quote Char"/>
    <w:basedOn w:val="DefaultParagraphFont"/>
    <w:link w:val="Quote"/>
    <w:uiPriority w:val="29"/>
    <w:rsid w:val="006F47F5"/>
    <w:rPr>
      <w:i/>
      <w:iCs/>
      <w:color w:val="404040" w:themeColor="text1" w:themeTint="BF"/>
    </w:rPr>
  </w:style>
  <w:style w:type="paragraph" w:styleId="ListParagraph">
    <w:name w:val="List Paragraph"/>
    <w:basedOn w:val="Normal"/>
    <w:uiPriority w:val="34"/>
    <w:qFormat/>
    <w:rsid w:val="006F47F5"/>
    <w:pPr>
      <w:ind w:left="720"/>
      <w:contextualSpacing/>
    </w:pPr>
  </w:style>
  <w:style w:type="character" w:styleId="IntenseEmphasis">
    <w:name w:val="Intense Emphasis"/>
    <w:basedOn w:val="DefaultParagraphFont"/>
    <w:uiPriority w:val="21"/>
    <w:qFormat/>
    <w:rsid w:val="006F47F5"/>
    <w:rPr>
      <w:i/>
      <w:iCs/>
      <w:color w:val="0F4761" w:themeColor="accent1" w:themeShade="BF"/>
    </w:rPr>
  </w:style>
  <w:style w:type="paragraph" w:styleId="IntenseQuote">
    <w:name w:val="Intense Quote"/>
    <w:basedOn w:val="Normal"/>
    <w:next w:val="Normal"/>
    <w:link w:val="IntenseQuoteChar"/>
    <w:uiPriority w:val="30"/>
    <w:qFormat/>
    <w:rsid w:val="006F4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7F5"/>
    <w:rPr>
      <w:i/>
      <w:iCs/>
      <w:color w:val="0F4761" w:themeColor="accent1" w:themeShade="BF"/>
    </w:rPr>
  </w:style>
  <w:style w:type="character" w:styleId="IntenseReference">
    <w:name w:val="Intense Reference"/>
    <w:basedOn w:val="DefaultParagraphFont"/>
    <w:uiPriority w:val="32"/>
    <w:qFormat/>
    <w:rsid w:val="006F47F5"/>
    <w:rPr>
      <w:b/>
      <w:bCs/>
      <w:smallCaps/>
      <w:color w:val="0F4761" w:themeColor="accent1" w:themeShade="BF"/>
      <w:spacing w:val="5"/>
    </w:rPr>
  </w:style>
  <w:style w:type="paragraph" w:styleId="Header">
    <w:name w:val="header"/>
    <w:basedOn w:val="Normal"/>
    <w:link w:val="HeaderChar"/>
    <w:unhideWhenUsed/>
    <w:rsid w:val="006F47F5"/>
    <w:pPr>
      <w:tabs>
        <w:tab w:val="center" w:pos="4680"/>
        <w:tab w:val="right" w:pos="9360"/>
      </w:tabs>
      <w:spacing w:after="0" w:line="240" w:lineRule="auto"/>
    </w:pPr>
  </w:style>
  <w:style w:type="character" w:customStyle="1" w:styleId="HeaderChar">
    <w:name w:val="Header Char"/>
    <w:basedOn w:val="DefaultParagraphFont"/>
    <w:link w:val="Header"/>
    <w:rsid w:val="006F47F5"/>
  </w:style>
  <w:style w:type="paragraph" w:styleId="Footer">
    <w:name w:val="footer"/>
    <w:basedOn w:val="Normal"/>
    <w:link w:val="FooterChar"/>
    <w:uiPriority w:val="99"/>
    <w:unhideWhenUsed/>
    <w:rsid w:val="006F4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7F5"/>
  </w:style>
  <w:style w:type="paragraph" w:customStyle="1" w:styleId="paragraph">
    <w:name w:val="paragraph"/>
    <w:basedOn w:val="Normal"/>
    <w:rsid w:val="00695A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95A66"/>
  </w:style>
  <w:style w:type="character" w:customStyle="1" w:styleId="eop">
    <w:name w:val="eop"/>
    <w:basedOn w:val="DefaultParagraphFont"/>
    <w:rsid w:val="00695A66"/>
  </w:style>
  <w:style w:type="table" w:styleId="TableGrid">
    <w:name w:val="Table Grid"/>
    <w:basedOn w:val="TableNormal"/>
    <w:uiPriority w:val="39"/>
    <w:rsid w:val="009B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D6E4CA336F74D94DE2268E40125E1" ma:contentTypeVersion="19" ma:contentTypeDescription="Create a new document." ma:contentTypeScope="" ma:versionID="059333183a31664d0563936b737f6702">
  <xsd:schema xmlns:xsd="http://www.w3.org/2001/XMLSchema" xmlns:xs="http://www.w3.org/2001/XMLSchema" xmlns:p="http://schemas.microsoft.com/office/2006/metadata/properties" xmlns:ns2="4b0cd99f-67e1-42ef-9d87-a93b8801e167" xmlns:ns3="ecebac2a-1c6d-4e7e-a809-e8984ab44acf" targetNamespace="http://schemas.microsoft.com/office/2006/metadata/properties" ma:root="true" ma:fieldsID="d97f0a864f797e5b6fc154c4bb978b82" ns2:_="" ns3:_="">
    <xsd:import namespace="4b0cd99f-67e1-42ef-9d87-a93b8801e167"/>
    <xsd:import namespace="ecebac2a-1c6d-4e7e-a809-e8984ab4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cd99f-67e1-42ef-9d87-a93b8801e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ab95b9-39aa-4b9d-a2e7-0451eedf9b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ac2a-1c6d-4e7e-a809-e8984ab44a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49d866-60c6-4559-842f-764d32f99b7f}" ma:internalName="TaxCatchAll" ma:showField="CatchAllData" ma:web="ecebac2a-1c6d-4e7e-a809-e8984ab4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0cd99f-67e1-42ef-9d87-a93b8801e167">
      <Terms xmlns="http://schemas.microsoft.com/office/infopath/2007/PartnerControls"/>
    </lcf76f155ced4ddcb4097134ff3c332f>
    <TaxCatchAll xmlns="ecebac2a-1c6d-4e7e-a809-e8984ab44a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EDF980-1F9B-45F7-B946-CD158D1B2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cd99f-67e1-42ef-9d87-a93b8801e167"/>
    <ds:schemaRef ds:uri="ecebac2a-1c6d-4e7e-a809-e8984ab4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D54C0-654B-498C-81BB-ECBD385F675F}">
  <ds:schemaRefs>
    <ds:schemaRef ds:uri="http://purl.org/dc/elements/1.1/"/>
    <ds:schemaRef ds:uri="http://schemas.microsoft.com/office/2006/metadata/properties"/>
    <ds:schemaRef ds:uri="ecebac2a-1c6d-4e7e-a809-e8984ab44acf"/>
    <ds:schemaRef ds:uri="http://purl.org/dc/terms/"/>
    <ds:schemaRef ds:uri="4b0cd99f-67e1-42ef-9d87-a93b8801e167"/>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A122FD2-9D43-4D20-A697-9F4CE151B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Cameron</dc:creator>
  <cp:keywords/>
  <dc:description/>
  <cp:lastModifiedBy>Hendricks, Stacey</cp:lastModifiedBy>
  <cp:revision>3</cp:revision>
  <dcterms:created xsi:type="dcterms:W3CDTF">2026-04-13T11:53:00Z</dcterms:created>
  <dcterms:modified xsi:type="dcterms:W3CDTF">2026-04-28T17:35:00Z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0x01010005FD6E4CA336F74D94DE2268E40125E1</vt:lpwstr>
  </property>
</Properties>
</file>