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F5A15" w14:textId="77777777" w:rsidR="000010B0" w:rsidRDefault="000010B0" w:rsidP="00EE58AC">
      <w:pPr>
        <w:ind w:left="-720"/>
        <w:rPr>
          <w:rFonts w:asciiTheme="majorHAnsi" w:hAnsiTheme="majorHAnsi"/>
          <w:sz w:val="28"/>
          <w:szCs w:val="28"/>
        </w:rPr>
      </w:pPr>
    </w:p>
    <w:p w14:paraId="61BA41E7" w14:textId="77777777" w:rsidR="005B4260" w:rsidRDefault="005B4260" w:rsidP="00EE58AC">
      <w:pPr>
        <w:ind w:left="-720"/>
        <w:rPr>
          <w:rFonts w:asciiTheme="majorHAnsi" w:hAnsiTheme="majorHAnsi"/>
          <w:sz w:val="28"/>
          <w:szCs w:val="28"/>
        </w:rPr>
      </w:pPr>
    </w:p>
    <w:p w14:paraId="45AD8CBB" w14:textId="77777777" w:rsidR="005B4260" w:rsidRPr="00772389" w:rsidRDefault="005B4260" w:rsidP="005B4260">
      <w:pPr>
        <w:jc w:val="center"/>
        <w:rPr>
          <w:rFonts w:asciiTheme="majorHAnsi" w:hAnsiTheme="majorHAnsi"/>
          <w:b/>
          <w:smallCaps/>
          <w:spacing w:val="40"/>
          <w:sz w:val="24"/>
          <w:szCs w:val="24"/>
        </w:rPr>
      </w:pPr>
      <w:r>
        <w:rPr>
          <w:rFonts w:asciiTheme="majorHAnsi" w:hAnsiTheme="majorHAnsi"/>
          <w:b/>
          <w:smallCaps/>
          <w:spacing w:val="40"/>
          <w:sz w:val="24"/>
          <w:szCs w:val="24"/>
        </w:rPr>
        <w:t xml:space="preserve">UTHSC </w:t>
      </w:r>
      <w:r w:rsidRPr="00772389">
        <w:rPr>
          <w:rFonts w:asciiTheme="majorHAnsi" w:hAnsiTheme="majorHAnsi"/>
          <w:b/>
          <w:smallCaps/>
          <w:spacing w:val="40"/>
          <w:sz w:val="24"/>
          <w:szCs w:val="24"/>
        </w:rPr>
        <w:t>Salary Increase Guidelines</w:t>
      </w:r>
    </w:p>
    <w:p w14:paraId="2DFCC404" w14:textId="4B767443" w:rsidR="005B4260" w:rsidRPr="00772389" w:rsidRDefault="005B4260" w:rsidP="005B4260">
      <w:pPr>
        <w:jc w:val="center"/>
        <w:rPr>
          <w:rFonts w:asciiTheme="majorHAnsi" w:hAnsiTheme="majorHAnsi"/>
          <w:b/>
          <w:smallCaps/>
          <w:spacing w:val="40"/>
          <w:sz w:val="24"/>
          <w:szCs w:val="24"/>
        </w:rPr>
      </w:pPr>
      <w:r w:rsidRPr="00772389">
        <w:rPr>
          <w:rFonts w:asciiTheme="majorHAnsi" w:hAnsiTheme="majorHAnsi"/>
          <w:b/>
          <w:smallCaps/>
          <w:spacing w:val="40"/>
          <w:sz w:val="24"/>
          <w:szCs w:val="24"/>
        </w:rPr>
        <w:t>FY</w:t>
      </w:r>
      <w:r>
        <w:rPr>
          <w:rFonts w:asciiTheme="majorHAnsi" w:hAnsiTheme="majorHAnsi"/>
          <w:b/>
          <w:smallCaps/>
          <w:spacing w:val="40"/>
          <w:sz w:val="24"/>
          <w:szCs w:val="24"/>
        </w:rPr>
        <w:t xml:space="preserve"> 2017</w:t>
      </w:r>
    </w:p>
    <w:p w14:paraId="54F89E60" w14:textId="77777777" w:rsidR="005B4260" w:rsidRPr="00772389" w:rsidRDefault="005B4260" w:rsidP="005B4260">
      <w:pPr>
        <w:jc w:val="both"/>
        <w:rPr>
          <w:rFonts w:asciiTheme="majorHAnsi" w:hAnsiTheme="majorHAnsi"/>
          <w:sz w:val="24"/>
          <w:szCs w:val="24"/>
        </w:rPr>
      </w:pPr>
    </w:p>
    <w:p w14:paraId="60E0A94E" w14:textId="58567CC6" w:rsidR="005B4260" w:rsidRPr="00635A54" w:rsidRDefault="005B4260" w:rsidP="005B4260">
      <w:pPr>
        <w:spacing w:after="120"/>
        <w:jc w:val="both"/>
        <w:rPr>
          <w:rFonts w:asciiTheme="majorHAnsi" w:hAnsiTheme="majorHAnsi"/>
          <w:sz w:val="24"/>
          <w:szCs w:val="24"/>
        </w:rPr>
      </w:pPr>
      <w:r w:rsidRPr="00772389">
        <w:rPr>
          <w:rFonts w:asciiTheme="majorHAnsi" w:hAnsiTheme="majorHAnsi"/>
          <w:sz w:val="24"/>
          <w:szCs w:val="24"/>
        </w:rPr>
        <w:tab/>
      </w:r>
      <w:r w:rsidRPr="00635A54">
        <w:rPr>
          <w:rFonts w:asciiTheme="majorHAnsi" w:hAnsiTheme="majorHAnsi"/>
          <w:sz w:val="24"/>
          <w:szCs w:val="24"/>
        </w:rPr>
        <w:t>The Health Science Center is implementing a two-step salary increase plan for FY 201</w:t>
      </w:r>
      <w:r>
        <w:rPr>
          <w:rFonts w:asciiTheme="majorHAnsi" w:hAnsiTheme="majorHAnsi"/>
          <w:sz w:val="24"/>
          <w:szCs w:val="24"/>
        </w:rPr>
        <w:t>7.  The plan wi</w:t>
      </w:r>
      <w:r w:rsidRPr="00A63886">
        <w:rPr>
          <w:rFonts w:asciiTheme="majorHAnsi" w:hAnsiTheme="majorHAnsi"/>
          <w:sz w:val="24"/>
          <w:szCs w:val="24"/>
        </w:rPr>
        <w:t xml:space="preserve">ll consist of a 3.0% across-the-board increase.  Increases will apply to all regular faculty and staff.  It will have a $1000 minimum </w:t>
      </w:r>
      <w:r w:rsidR="00A63886">
        <w:rPr>
          <w:rFonts w:asciiTheme="majorHAnsi" w:hAnsiTheme="majorHAnsi"/>
          <w:sz w:val="24"/>
          <w:szCs w:val="24"/>
        </w:rPr>
        <w:t>and</w:t>
      </w:r>
      <w:r w:rsidRPr="00A63886">
        <w:rPr>
          <w:rFonts w:asciiTheme="majorHAnsi" w:hAnsiTheme="majorHAnsi"/>
          <w:sz w:val="24"/>
          <w:szCs w:val="24"/>
        </w:rPr>
        <w:t xml:space="preserve"> will be prorated appropriately for pa</w:t>
      </w:r>
      <w:r w:rsidRPr="00635A54">
        <w:rPr>
          <w:rFonts w:asciiTheme="majorHAnsi" w:hAnsiTheme="majorHAnsi"/>
          <w:sz w:val="24"/>
          <w:szCs w:val="24"/>
        </w:rPr>
        <w:t xml:space="preserve">rt-time faculty and staff. </w:t>
      </w:r>
    </w:p>
    <w:p w14:paraId="25CC0CC6" w14:textId="77777777" w:rsidR="005B4260" w:rsidRPr="00635A54" w:rsidRDefault="005B4260" w:rsidP="005B4260">
      <w:pPr>
        <w:spacing w:after="1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635A54">
        <w:rPr>
          <w:rFonts w:asciiTheme="majorHAnsi" w:hAnsiTheme="majorHAnsi"/>
          <w:sz w:val="24"/>
          <w:szCs w:val="24"/>
        </w:rPr>
        <w:tab/>
      </w:r>
    </w:p>
    <w:p w14:paraId="2012CFF0" w14:textId="77777777" w:rsidR="005B4260" w:rsidRPr="00635A54" w:rsidRDefault="005B4260" w:rsidP="005B4260">
      <w:pPr>
        <w:spacing w:after="120"/>
        <w:jc w:val="both"/>
        <w:rPr>
          <w:rFonts w:asciiTheme="majorHAnsi" w:hAnsiTheme="majorHAnsi"/>
          <w:b/>
          <w:i/>
          <w:sz w:val="24"/>
          <w:szCs w:val="24"/>
          <w:u w:val="single"/>
        </w:rPr>
      </w:pPr>
      <w:r w:rsidRPr="00635A54">
        <w:rPr>
          <w:rFonts w:asciiTheme="majorHAnsi" w:hAnsiTheme="majorHAnsi"/>
          <w:b/>
          <w:i/>
          <w:sz w:val="24"/>
          <w:szCs w:val="24"/>
          <w:u w:val="single"/>
        </w:rPr>
        <w:t>Across-the-Board Increase:</w:t>
      </w:r>
    </w:p>
    <w:p w14:paraId="0CBFF305" w14:textId="6ABCCEEA" w:rsidR="005B4260" w:rsidRPr="00635A54" w:rsidRDefault="005B4260" w:rsidP="005B4260">
      <w:pPr>
        <w:numPr>
          <w:ilvl w:val="0"/>
          <w:numId w:val="8"/>
        </w:numPr>
        <w:spacing w:after="120"/>
        <w:ind w:hanging="540"/>
        <w:jc w:val="both"/>
        <w:rPr>
          <w:rFonts w:asciiTheme="majorHAnsi" w:hAnsiTheme="majorHAnsi"/>
          <w:sz w:val="24"/>
          <w:szCs w:val="24"/>
        </w:rPr>
      </w:pPr>
      <w:r w:rsidRPr="00635A54">
        <w:rPr>
          <w:rFonts w:asciiTheme="majorHAnsi" w:hAnsiTheme="majorHAnsi"/>
          <w:sz w:val="24"/>
          <w:szCs w:val="24"/>
        </w:rPr>
        <w:t xml:space="preserve">All regular, full-time employees will receive a </w:t>
      </w:r>
      <w:r>
        <w:rPr>
          <w:rFonts w:asciiTheme="majorHAnsi" w:hAnsiTheme="majorHAnsi"/>
          <w:sz w:val="24"/>
          <w:szCs w:val="24"/>
        </w:rPr>
        <w:t>3.0</w:t>
      </w:r>
      <w:r w:rsidRPr="00635A54">
        <w:rPr>
          <w:rFonts w:asciiTheme="majorHAnsi" w:hAnsiTheme="majorHAnsi"/>
          <w:sz w:val="24"/>
          <w:szCs w:val="24"/>
        </w:rPr>
        <w:t>% across-the-board increase effective July 1, 201</w:t>
      </w:r>
      <w:r>
        <w:rPr>
          <w:rFonts w:asciiTheme="majorHAnsi" w:hAnsiTheme="majorHAnsi"/>
          <w:sz w:val="24"/>
          <w:szCs w:val="24"/>
        </w:rPr>
        <w:t>6</w:t>
      </w:r>
      <w:r w:rsidRPr="00635A54">
        <w:rPr>
          <w:rFonts w:asciiTheme="majorHAnsi" w:hAnsiTheme="majorHAnsi"/>
          <w:sz w:val="24"/>
          <w:szCs w:val="24"/>
        </w:rPr>
        <w:t>.</w:t>
      </w:r>
    </w:p>
    <w:p w14:paraId="4B3E3F71" w14:textId="77777777" w:rsidR="00A63886" w:rsidRDefault="005B4260" w:rsidP="00093935">
      <w:pPr>
        <w:numPr>
          <w:ilvl w:val="1"/>
          <w:numId w:val="10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A63886">
        <w:rPr>
          <w:rFonts w:asciiTheme="majorHAnsi" w:hAnsiTheme="majorHAnsi"/>
          <w:sz w:val="24"/>
          <w:szCs w:val="24"/>
        </w:rPr>
        <w:t>The minimum increase will be $1000 per year</w:t>
      </w:r>
      <w:r w:rsidR="00A63886" w:rsidRPr="00A63886">
        <w:rPr>
          <w:rFonts w:asciiTheme="majorHAnsi" w:hAnsiTheme="majorHAnsi"/>
          <w:sz w:val="24"/>
          <w:szCs w:val="24"/>
        </w:rPr>
        <w:t>.</w:t>
      </w:r>
    </w:p>
    <w:p w14:paraId="7759FC30" w14:textId="2E14A8BF" w:rsidR="005B4260" w:rsidRPr="00A63886" w:rsidRDefault="005B4260" w:rsidP="00093935">
      <w:pPr>
        <w:numPr>
          <w:ilvl w:val="1"/>
          <w:numId w:val="10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A63886">
        <w:rPr>
          <w:rFonts w:asciiTheme="majorHAnsi" w:hAnsiTheme="majorHAnsi"/>
          <w:sz w:val="24"/>
          <w:szCs w:val="24"/>
        </w:rPr>
        <w:t>Increases for 9-month faculty will be effective August 1st.</w:t>
      </w:r>
    </w:p>
    <w:p w14:paraId="522CA9B5" w14:textId="77777777" w:rsidR="005B4260" w:rsidRPr="00635A54" w:rsidRDefault="005B4260" w:rsidP="005B4260">
      <w:pPr>
        <w:numPr>
          <w:ilvl w:val="0"/>
          <w:numId w:val="8"/>
        </w:numPr>
        <w:spacing w:after="120"/>
        <w:ind w:hanging="540"/>
        <w:jc w:val="both"/>
        <w:rPr>
          <w:rFonts w:asciiTheme="majorHAnsi" w:hAnsiTheme="majorHAnsi"/>
          <w:sz w:val="24"/>
          <w:szCs w:val="24"/>
        </w:rPr>
      </w:pPr>
      <w:r w:rsidRPr="00635A54">
        <w:rPr>
          <w:rFonts w:asciiTheme="majorHAnsi" w:hAnsiTheme="majorHAnsi"/>
          <w:sz w:val="24"/>
          <w:szCs w:val="24"/>
        </w:rPr>
        <w:t>Post-retirement service employees may receive this increase in accordance with their post-retirement contract.</w:t>
      </w:r>
    </w:p>
    <w:p w14:paraId="167770BA" w14:textId="77777777" w:rsidR="005B4260" w:rsidRPr="00A63886" w:rsidRDefault="005B4260" w:rsidP="005B4260">
      <w:pPr>
        <w:numPr>
          <w:ilvl w:val="0"/>
          <w:numId w:val="8"/>
        </w:numPr>
        <w:spacing w:after="120"/>
        <w:ind w:hanging="540"/>
        <w:jc w:val="both"/>
        <w:rPr>
          <w:rFonts w:asciiTheme="majorHAnsi" w:hAnsiTheme="majorHAnsi"/>
          <w:sz w:val="24"/>
          <w:szCs w:val="24"/>
        </w:rPr>
      </w:pPr>
      <w:r w:rsidRPr="00A63886">
        <w:rPr>
          <w:rFonts w:asciiTheme="majorHAnsi" w:hAnsiTheme="majorHAnsi"/>
          <w:sz w:val="24"/>
          <w:szCs w:val="24"/>
        </w:rPr>
        <w:t>The $1000 minimum does not apply to HSC Faculty whose annual planned income (i.e., total salary from all sources) exceeds $65,000.</w:t>
      </w:r>
    </w:p>
    <w:p w14:paraId="7F2C5F97" w14:textId="01D23AE4" w:rsidR="005B4260" w:rsidRPr="00635A54" w:rsidRDefault="005B4260" w:rsidP="005B4260">
      <w:pPr>
        <w:numPr>
          <w:ilvl w:val="0"/>
          <w:numId w:val="8"/>
        </w:numPr>
        <w:spacing w:after="120"/>
        <w:ind w:hanging="540"/>
        <w:jc w:val="both"/>
        <w:rPr>
          <w:rFonts w:asciiTheme="majorHAnsi" w:hAnsiTheme="majorHAnsi"/>
          <w:sz w:val="24"/>
          <w:szCs w:val="24"/>
        </w:rPr>
      </w:pPr>
      <w:r w:rsidRPr="00635A54">
        <w:rPr>
          <w:rFonts w:asciiTheme="majorHAnsi" w:hAnsiTheme="majorHAnsi"/>
          <w:sz w:val="24"/>
          <w:szCs w:val="24"/>
        </w:rPr>
        <w:t xml:space="preserve">To receive an increase under this guideline, employees must be on the payroll </w:t>
      </w:r>
      <w:r>
        <w:rPr>
          <w:rFonts w:asciiTheme="majorHAnsi" w:hAnsiTheme="majorHAnsi"/>
          <w:sz w:val="24"/>
          <w:szCs w:val="24"/>
        </w:rPr>
        <w:t xml:space="preserve">         </w:t>
      </w:r>
      <w:r w:rsidRPr="00635A54">
        <w:rPr>
          <w:rFonts w:asciiTheme="majorHAnsi" w:hAnsiTheme="majorHAnsi"/>
          <w:sz w:val="24"/>
          <w:szCs w:val="24"/>
        </w:rPr>
        <w:t>June 30, 201</w:t>
      </w:r>
      <w:r>
        <w:rPr>
          <w:rFonts w:asciiTheme="majorHAnsi" w:hAnsiTheme="majorHAnsi"/>
          <w:sz w:val="24"/>
          <w:szCs w:val="24"/>
        </w:rPr>
        <w:t>6</w:t>
      </w:r>
      <w:r w:rsidRPr="00635A54">
        <w:rPr>
          <w:rFonts w:asciiTheme="majorHAnsi" w:hAnsiTheme="majorHAnsi"/>
          <w:sz w:val="24"/>
          <w:szCs w:val="24"/>
        </w:rPr>
        <w:t>.</w:t>
      </w:r>
    </w:p>
    <w:p w14:paraId="645C23C2" w14:textId="77777777" w:rsidR="005B4260" w:rsidRPr="00635A54" w:rsidRDefault="005B4260" w:rsidP="005B4260">
      <w:pPr>
        <w:numPr>
          <w:ilvl w:val="0"/>
          <w:numId w:val="8"/>
        </w:numPr>
        <w:spacing w:after="120"/>
        <w:ind w:hanging="540"/>
        <w:jc w:val="both"/>
        <w:rPr>
          <w:rFonts w:asciiTheme="majorHAnsi" w:hAnsiTheme="majorHAnsi"/>
          <w:sz w:val="24"/>
          <w:szCs w:val="24"/>
        </w:rPr>
      </w:pPr>
      <w:r w:rsidRPr="00635A54">
        <w:rPr>
          <w:rFonts w:asciiTheme="majorHAnsi" w:hAnsiTheme="majorHAnsi"/>
          <w:sz w:val="24"/>
          <w:szCs w:val="24"/>
        </w:rPr>
        <w:t>Employees who are “regular” faculty, exempt staff, and non-exempt staff are eligible for the raise.</w:t>
      </w:r>
    </w:p>
    <w:p w14:paraId="3DD4A5B7" w14:textId="77777777" w:rsidR="005B4260" w:rsidRPr="00635A54" w:rsidRDefault="005B4260" w:rsidP="005B4260">
      <w:pPr>
        <w:numPr>
          <w:ilvl w:val="0"/>
          <w:numId w:val="8"/>
        </w:numPr>
        <w:spacing w:after="120"/>
        <w:ind w:hanging="540"/>
        <w:jc w:val="both"/>
        <w:rPr>
          <w:rFonts w:asciiTheme="majorHAnsi" w:hAnsiTheme="majorHAnsi"/>
          <w:sz w:val="24"/>
          <w:szCs w:val="24"/>
        </w:rPr>
      </w:pPr>
      <w:r w:rsidRPr="00635A54">
        <w:rPr>
          <w:rFonts w:asciiTheme="majorHAnsi" w:hAnsiTheme="majorHAnsi"/>
          <w:sz w:val="24"/>
          <w:szCs w:val="24"/>
        </w:rPr>
        <w:t xml:space="preserve">Self-funded, auxiliary, and restricted sources </w:t>
      </w:r>
      <w:r w:rsidRPr="00576A16">
        <w:rPr>
          <w:rFonts w:asciiTheme="majorHAnsi" w:hAnsiTheme="majorHAnsi"/>
          <w:b/>
          <w:i/>
          <w:sz w:val="24"/>
          <w:szCs w:val="24"/>
          <w:u w:val="single"/>
        </w:rPr>
        <w:t>must</w:t>
      </w:r>
      <w:r w:rsidRPr="00635A54">
        <w:rPr>
          <w:rFonts w:asciiTheme="majorHAnsi" w:hAnsiTheme="majorHAnsi"/>
          <w:sz w:val="24"/>
          <w:szCs w:val="24"/>
        </w:rPr>
        <w:t xml:space="preserve"> provide funding for eligible employees.</w:t>
      </w:r>
    </w:p>
    <w:p w14:paraId="21E627F6" w14:textId="77777777" w:rsidR="005B4260" w:rsidRPr="00635A54" w:rsidRDefault="005B4260" w:rsidP="005B4260">
      <w:pPr>
        <w:numPr>
          <w:ilvl w:val="0"/>
          <w:numId w:val="8"/>
        </w:numPr>
        <w:spacing w:after="120"/>
        <w:ind w:hanging="540"/>
        <w:jc w:val="both"/>
        <w:rPr>
          <w:rFonts w:asciiTheme="majorHAnsi" w:hAnsiTheme="majorHAnsi"/>
          <w:sz w:val="24"/>
          <w:szCs w:val="24"/>
        </w:rPr>
      </w:pPr>
      <w:r w:rsidRPr="00635A54">
        <w:rPr>
          <w:rFonts w:asciiTheme="majorHAnsi" w:hAnsiTheme="majorHAnsi"/>
          <w:sz w:val="24"/>
          <w:szCs w:val="24"/>
        </w:rPr>
        <w:t xml:space="preserve">Term employees, graduate students, and medical residents will </w:t>
      </w:r>
      <w:r w:rsidRPr="00635A54">
        <w:rPr>
          <w:rFonts w:asciiTheme="majorHAnsi" w:hAnsiTheme="majorHAnsi"/>
          <w:b/>
          <w:i/>
          <w:sz w:val="24"/>
          <w:szCs w:val="24"/>
          <w:u w:val="single"/>
        </w:rPr>
        <w:t>not</w:t>
      </w:r>
      <w:r w:rsidRPr="00635A54">
        <w:rPr>
          <w:rFonts w:asciiTheme="majorHAnsi" w:hAnsiTheme="majorHAnsi"/>
          <w:sz w:val="24"/>
          <w:szCs w:val="24"/>
        </w:rPr>
        <w:t xml:space="preserve"> receive an across-the-board increase.</w:t>
      </w:r>
    </w:p>
    <w:p w14:paraId="1597D0FA" w14:textId="77777777" w:rsidR="005B4260" w:rsidRPr="00635A54" w:rsidRDefault="005B4260" w:rsidP="005B4260">
      <w:pPr>
        <w:numPr>
          <w:ilvl w:val="0"/>
          <w:numId w:val="8"/>
        </w:numPr>
        <w:spacing w:after="120"/>
        <w:ind w:hanging="540"/>
        <w:jc w:val="both"/>
        <w:rPr>
          <w:rFonts w:asciiTheme="majorHAnsi" w:hAnsiTheme="majorHAnsi"/>
          <w:sz w:val="24"/>
          <w:szCs w:val="24"/>
        </w:rPr>
      </w:pPr>
      <w:r w:rsidRPr="00635A54">
        <w:rPr>
          <w:rFonts w:asciiTheme="majorHAnsi" w:hAnsiTheme="majorHAnsi"/>
          <w:sz w:val="24"/>
          <w:szCs w:val="24"/>
        </w:rPr>
        <w:t>Regular, part-time employees will receive the increase with the minimum amount pro-rated according to their percent appointment.</w:t>
      </w:r>
    </w:p>
    <w:p w14:paraId="7C38BAAB" w14:textId="77777777" w:rsidR="005B4260" w:rsidRPr="00635A54" w:rsidRDefault="005B4260" w:rsidP="005B4260">
      <w:pPr>
        <w:numPr>
          <w:ilvl w:val="0"/>
          <w:numId w:val="8"/>
        </w:numPr>
        <w:spacing w:after="120"/>
        <w:ind w:hanging="540"/>
        <w:jc w:val="both"/>
        <w:rPr>
          <w:rFonts w:asciiTheme="majorHAnsi" w:hAnsiTheme="majorHAnsi"/>
          <w:sz w:val="24"/>
          <w:szCs w:val="24"/>
        </w:rPr>
      </w:pPr>
      <w:r w:rsidRPr="00635A54">
        <w:rPr>
          <w:rFonts w:asciiTheme="majorHAnsi" w:hAnsiTheme="majorHAnsi"/>
          <w:sz w:val="24"/>
          <w:szCs w:val="24"/>
        </w:rPr>
        <w:t>Non-regular appointments such as ADAs do not qualify for the across-the-board increase.</w:t>
      </w:r>
    </w:p>
    <w:p w14:paraId="275E26A3" w14:textId="77777777" w:rsidR="005B4260" w:rsidRPr="00635A54" w:rsidRDefault="005B4260" w:rsidP="005B4260">
      <w:pPr>
        <w:numPr>
          <w:ilvl w:val="0"/>
          <w:numId w:val="8"/>
        </w:numPr>
        <w:spacing w:after="120"/>
        <w:ind w:hanging="540"/>
        <w:jc w:val="both"/>
        <w:rPr>
          <w:rFonts w:asciiTheme="majorHAnsi" w:hAnsiTheme="majorHAnsi"/>
          <w:sz w:val="24"/>
          <w:szCs w:val="24"/>
        </w:rPr>
      </w:pPr>
      <w:r w:rsidRPr="00635A54">
        <w:rPr>
          <w:rFonts w:asciiTheme="majorHAnsi" w:hAnsiTheme="majorHAnsi"/>
          <w:sz w:val="24"/>
          <w:szCs w:val="24"/>
        </w:rPr>
        <w:t>Raises do not apply to salaries charged to agency funds established for faculty practice plans</w:t>
      </w:r>
      <w:r>
        <w:rPr>
          <w:rFonts w:asciiTheme="majorHAnsi" w:hAnsiTheme="majorHAnsi"/>
          <w:sz w:val="24"/>
          <w:szCs w:val="24"/>
        </w:rPr>
        <w:t xml:space="preserve"> or other identified clinical salaries (i.e., by account number)</w:t>
      </w:r>
      <w:r w:rsidRPr="00635A54">
        <w:rPr>
          <w:rFonts w:asciiTheme="majorHAnsi" w:hAnsiTheme="majorHAnsi"/>
          <w:sz w:val="24"/>
          <w:szCs w:val="24"/>
        </w:rPr>
        <w:t>.</w:t>
      </w:r>
    </w:p>
    <w:p w14:paraId="61FD0012" w14:textId="77777777" w:rsidR="005B4260" w:rsidRPr="00635A54" w:rsidRDefault="005B4260" w:rsidP="005B4260">
      <w:pPr>
        <w:spacing w:after="120"/>
        <w:ind w:left="180"/>
        <w:jc w:val="both"/>
        <w:rPr>
          <w:rFonts w:asciiTheme="majorHAnsi" w:hAnsiTheme="majorHAnsi"/>
          <w:sz w:val="24"/>
          <w:szCs w:val="24"/>
        </w:rPr>
      </w:pPr>
      <w:r w:rsidRPr="00635A54">
        <w:rPr>
          <w:rFonts w:asciiTheme="majorHAnsi" w:hAnsiTheme="majorHAnsi"/>
          <w:sz w:val="24"/>
          <w:szCs w:val="24"/>
        </w:rPr>
        <w:br w:type="page"/>
      </w:r>
    </w:p>
    <w:p w14:paraId="41F8AFF8" w14:textId="487A0A57" w:rsidR="005B4260" w:rsidRPr="00635A54" w:rsidRDefault="005B4260" w:rsidP="005B4260">
      <w:pPr>
        <w:numPr>
          <w:ilvl w:val="0"/>
          <w:numId w:val="8"/>
        </w:numPr>
        <w:spacing w:after="120"/>
        <w:ind w:hanging="540"/>
        <w:jc w:val="both"/>
        <w:rPr>
          <w:rFonts w:asciiTheme="majorHAnsi" w:hAnsiTheme="majorHAnsi"/>
          <w:sz w:val="24"/>
          <w:szCs w:val="24"/>
        </w:rPr>
      </w:pPr>
      <w:r w:rsidRPr="00635A54">
        <w:rPr>
          <w:rFonts w:asciiTheme="majorHAnsi" w:hAnsiTheme="majorHAnsi"/>
          <w:sz w:val="24"/>
          <w:szCs w:val="24"/>
        </w:rPr>
        <w:lastRenderedPageBreak/>
        <w:t xml:space="preserve">The across-the-board increase will be withheld for unsatisfactory performance in accordance with documentation provided through annual employee evaluations on file with Human Resources </w:t>
      </w:r>
      <w:r w:rsidRPr="00635A54">
        <w:rPr>
          <w:rFonts w:asciiTheme="majorHAnsi" w:hAnsiTheme="majorHAnsi"/>
          <w:b/>
          <w:i/>
          <w:sz w:val="24"/>
          <w:szCs w:val="24"/>
          <w:u w:val="single"/>
        </w:rPr>
        <w:t>no l</w:t>
      </w:r>
      <w:r w:rsidRPr="00A63886">
        <w:rPr>
          <w:rFonts w:asciiTheme="majorHAnsi" w:hAnsiTheme="majorHAnsi"/>
          <w:b/>
          <w:i/>
          <w:sz w:val="24"/>
          <w:szCs w:val="24"/>
          <w:u w:val="single"/>
        </w:rPr>
        <w:t xml:space="preserve">ater than Wednesday, June </w:t>
      </w:r>
      <w:r w:rsidR="00A63886" w:rsidRPr="00A63886">
        <w:rPr>
          <w:rFonts w:asciiTheme="majorHAnsi" w:hAnsiTheme="majorHAnsi"/>
          <w:b/>
          <w:i/>
          <w:sz w:val="24"/>
          <w:szCs w:val="24"/>
          <w:u w:val="single"/>
        </w:rPr>
        <w:t>22</w:t>
      </w:r>
      <w:r w:rsidRPr="00A63886">
        <w:rPr>
          <w:rFonts w:asciiTheme="majorHAnsi" w:hAnsiTheme="majorHAnsi"/>
          <w:b/>
          <w:i/>
          <w:sz w:val="24"/>
          <w:szCs w:val="24"/>
          <w:u w:val="single"/>
        </w:rPr>
        <w:t>, 201</w:t>
      </w:r>
      <w:r w:rsidR="00A63886" w:rsidRPr="00A63886">
        <w:rPr>
          <w:rFonts w:asciiTheme="majorHAnsi" w:hAnsiTheme="majorHAnsi"/>
          <w:b/>
          <w:i/>
          <w:sz w:val="24"/>
          <w:szCs w:val="24"/>
          <w:u w:val="single"/>
        </w:rPr>
        <w:t>6</w:t>
      </w:r>
      <w:r w:rsidRPr="00A63886">
        <w:rPr>
          <w:rFonts w:asciiTheme="majorHAnsi" w:hAnsiTheme="majorHAnsi"/>
          <w:sz w:val="24"/>
          <w:szCs w:val="24"/>
        </w:rPr>
        <w:t>.  The f</w:t>
      </w:r>
      <w:r w:rsidRPr="00635A54">
        <w:rPr>
          <w:rFonts w:asciiTheme="majorHAnsi" w:hAnsiTheme="majorHAnsi"/>
          <w:sz w:val="24"/>
          <w:szCs w:val="24"/>
        </w:rPr>
        <w:t>ollowing must be met regarding the documentation to withhold the across-the board increase:</w:t>
      </w:r>
    </w:p>
    <w:p w14:paraId="7C83997A" w14:textId="77777777" w:rsidR="005B4260" w:rsidRPr="00635A54" w:rsidRDefault="005B4260" w:rsidP="005B4260">
      <w:pPr>
        <w:numPr>
          <w:ilvl w:val="1"/>
          <w:numId w:val="10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635A54">
        <w:rPr>
          <w:rFonts w:asciiTheme="majorHAnsi" w:hAnsiTheme="majorHAnsi"/>
          <w:sz w:val="24"/>
          <w:szCs w:val="24"/>
        </w:rPr>
        <w:t>The employee is notified in writing by their respective department head they are being denied the increase due to unsatisfactory work performance and the reason for the denial.</w:t>
      </w:r>
    </w:p>
    <w:p w14:paraId="5FA3DC19" w14:textId="55E3F551" w:rsidR="005B4260" w:rsidRPr="00A63886" w:rsidRDefault="005B4260" w:rsidP="005B4260">
      <w:pPr>
        <w:numPr>
          <w:ilvl w:val="1"/>
          <w:numId w:val="10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635A54">
        <w:rPr>
          <w:rFonts w:asciiTheme="majorHAnsi" w:hAnsiTheme="majorHAnsi"/>
          <w:sz w:val="24"/>
          <w:szCs w:val="24"/>
        </w:rPr>
        <w:t xml:space="preserve">The Chief Business Officer submits the names, personnel numbers, and copies of the </w:t>
      </w:r>
      <w:r w:rsidRPr="00A63886">
        <w:rPr>
          <w:rFonts w:asciiTheme="majorHAnsi" w:hAnsiTheme="majorHAnsi"/>
          <w:sz w:val="24"/>
          <w:szCs w:val="24"/>
        </w:rPr>
        <w:t xml:space="preserve">documentation of unsatisfactory performance to the UT System Chief Financial Officer </w:t>
      </w:r>
      <w:r w:rsidRPr="00A63886">
        <w:rPr>
          <w:rFonts w:asciiTheme="majorHAnsi" w:hAnsiTheme="majorHAnsi"/>
          <w:b/>
          <w:sz w:val="24"/>
          <w:szCs w:val="24"/>
        </w:rPr>
        <w:t>by July 3, 2016.</w:t>
      </w:r>
    </w:p>
    <w:p w14:paraId="2C3F91CF" w14:textId="5F3943C8" w:rsidR="005B4260" w:rsidRPr="00635A54" w:rsidRDefault="007E18C1" w:rsidP="005B4260">
      <w:pPr>
        <w:numPr>
          <w:ilvl w:val="1"/>
          <w:numId w:val="10"/>
        </w:numPr>
        <w:spacing w:after="1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bookmarkStart w:id="0" w:name="_GoBack"/>
      <w:bookmarkEnd w:id="0"/>
      <w:r w:rsidR="005B4260" w:rsidRPr="00635A54">
        <w:rPr>
          <w:rFonts w:asciiTheme="majorHAnsi" w:hAnsiTheme="majorHAnsi"/>
          <w:sz w:val="24"/>
          <w:szCs w:val="24"/>
        </w:rPr>
        <w:t>Employees being denied an increase shall be granted an opportunity to respond either orally or in writing to the head of the campus.  If the denial is sustained, a letter shall be provided to the Chief Business Officer of the campus.</w:t>
      </w:r>
    </w:p>
    <w:p w14:paraId="1DC98D2A" w14:textId="38238A02" w:rsidR="005B4260" w:rsidRPr="00635A54" w:rsidRDefault="005B4260" w:rsidP="005B4260">
      <w:pPr>
        <w:numPr>
          <w:ilvl w:val="1"/>
          <w:numId w:val="10"/>
        </w:numPr>
        <w:spacing w:after="120"/>
        <w:jc w:val="both"/>
        <w:rPr>
          <w:rFonts w:asciiTheme="majorHAnsi" w:hAnsiTheme="majorHAnsi"/>
          <w:sz w:val="24"/>
          <w:szCs w:val="24"/>
        </w:rPr>
      </w:pPr>
      <w:r w:rsidRPr="00635A54">
        <w:rPr>
          <w:rFonts w:asciiTheme="majorHAnsi" w:hAnsiTheme="majorHAnsi"/>
          <w:sz w:val="24"/>
          <w:szCs w:val="24"/>
        </w:rPr>
        <w:t>If work performance is deemed satisfactory during FY 201</w:t>
      </w:r>
      <w:r>
        <w:rPr>
          <w:rFonts w:asciiTheme="majorHAnsi" w:hAnsiTheme="majorHAnsi"/>
          <w:sz w:val="24"/>
          <w:szCs w:val="24"/>
        </w:rPr>
        <w:t>7</w:t>
      </w:r>
      <w:r w:rsidRPr="00635A54">
        <w:rPr>
          <w:rFonts w:asciiTheme="majorHAnsi" w:hAnsiTheme="majorHAnsi"/>
          <w:sz w:val="24"/>
          <w:szCs w:val="24"/>
        </w:rPr>
        <w:t>, the respective salary increase may be given to the employee at that point in time.  Under no circumstances should the increase be given after June 30, 201</w:t>
      </w:r>
      <w:r>
        <w:rPr>
          <w:rFonts w:asciiTheme="majorHAnsi" w:hAnsiTheme="majorHAnsi"/>
          <w:sz w:val="24"/>
          <w:szCs w:val="24"/>
        </w:rPr>
        <w:t>7</w:t>
      </w:r>
      <w:r w:rsidRPr="00635A54">
        <w:rPr>
          <w:rFonts w:asciiTheme="majorHAnsi" w:hAnsiTheme="majorHAnsi"/>
          <w:sz w:val="24"/>
          <w:szCs w:val="24"/>
        </w:rPr>
        <w:t>, nor shall it be retroactive.  Appropriate documentation illustrating the employee’s change in performance should be approved by the Chief Business Officer of the campus.</w:t>
      </w:r>
    </w:p>
    <w:p w14:paraId="58394B5D" w14:textId="77777777" w:rsidR="005B4260" w:rsidRPr="00635A54" w:rsidRDefault="005B4260" w:rsidP="005B4260">
      <w:pPr>
        <w:numPr>
          <w:ilvl w:val="0"/>
          <w:numId w:val="8"/>
        </w:numPr>
        <w:spacing w:after="120"/>
        <w:ind w:hanging="540"/>
        <w:jc w:val="both"/>
        <w:rPr>
          <w:rFonts w:asciiTheme="majorHAnsi" w:hAnsiTheme="majorHAnsi"/>
          <w:sz w:val="24"/>
          <w:szCs w:val="24"/>
        </w:rPr>
      </w:pPr>
      <w:r w:rsidRPr="00635A54">
        <w:rPr>
          <w:rFonts w:asciiTheme="majorHAnsi" w:hAnsiTheme="majorHAnsi"/>
          <w:sz w:val="24"/>
          <w:szCs w:val="24"/>
        </w:rPr>
        <w:t>The UT System Payroll Office will calculate and enter the across-the-board increase.  Department processing of papers for this increase is not required.</w:t>
      </w:r>
    </w:p>
    <w:p w14:paraId="45B8D748" w14:textId="77777777" w:rsidR="005B4260" w:rsidRPr="00635A54" w:rsidRDefault="005B4260" w:rsidP="005B4260">
      <w:pPr>
        <w:spacing w:after="120"/>
        <w:rPr>
          <w:rFonts w:asciiTheme="majorHAnsi" w:hAnsiTheme="majorHAnsi"/>
          <w:sz w:val="24"/>
          <w:szCs w:val="24"/>
        </w:rPr>
      </w:pPr>
    </w:p>
    <w:sectPr w:rsidR="005B4260" w:rsidRPr="00635A54" w:rsidSect="00094489">
      <w:headerReference w:type="default" r:id="rId7"/>
      <w:headerReference w:type="first" r:id="rId8"/>
      <w:pgSz w:w="12240" w:h="15840" w:code="1"/>
      <w:pgMar w:top="432" w:right="1440" w:bottom="1008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DCD0B" w14:textId="77777777" w:rsidR="006A4520" w:rsidRDefault="006A4520">
      <w:r>
        <w:separator/>
      </w:r>
    </w:p>
  </w:endnote>
  <w:endnote w:type="continuationSeparator" w:id="0">
    <w:p w14:paraId="716B95FB" w14:textId="77777777" w:rsidR="006A4520" w:rsidRDefault="006A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39AAB" w14:textId="77777777" w:rsidR="006A4520" w:rsidRDefault="006A4520">
      <w:r>
        <w:separator/>
      </w:r>
    </w:p>
  </w:footnote>
  <w:footnote w:type="continuationSeparator" w:id="0">
    <w:p w14:paraId="3D51DEDA" w14:textId="77777777" w:rsidR="006A4520" w:rsidRDefault="006A45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7D80A" w14:textId="762729E9" w:rsidR="00C50004" w:rsidRPr="00A215E6" w:rsidRDefault="003C025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FY 2017 Salary Increase Guidelines</w:t>
    </w:r>
  </w:p>
  <w:p w14:paraId="6307D9A3" w14:textId="77777777" w:rsidR="00C50004" w:rsidRPr="00A215E6" w:rsidRDefault="00C50004">
    <w:pPr>
      <w:pStyle w:val="Header"/>
      <w:rPr>
        <w:rStyle w:val="PageNumber"/>
        <w:rFonts w:ascii="Times New Roman" w:hAnsi="Times New Roman"/>
      </w:rPr>
    </w:pPr>
    <w:r w:rsidRPr="00A215E6">
      <w:rPr>
        <w:rFonts w:ascii="Times New Roman" w:hAnsi="Times New Roman"/>
      </w:rPr>
      <w:t xml:space="preserve">Page </w:t>
    </w:r>
    <w:r w:rsidR="003D3497" w:rsidRPr="00A215E6">
      <w:rPr>
        <w:rStyle w:val="PageNumber"/>
        <w:rFonts w:ascii="Times New Roman" w:hAnsi="Times New Roman"/>
      </w:rPr>
      <w:fldChar w:fldCharType="begin"/>
    </w:r>
    <w:r w:rsidRPr="00A215E6">
      <w:rPr>
        <w:rStyle w:val="PageNumber"/>
        <w:rFonts w:ascii="Times New Roman" w:hAnsi="Times New Roman"/>
      </w:rPr>
      <w:instrText xml:space="preserve"> PAGE </w:instrText>
    </w:r>
    <w:r w:rsidR="003D3497" w:rsidRPr="00A215E6">
      <w:rPr>
        <w:rStyle w:val="PageNumber"/>
        <w:rFonts w:ascii="Times New Roman" w:hAnsi="Times New Roman"/>
      </w:rPr>
      <w:fldChar w:fldCharType="separate"/>
    </w:r>
    <w:r w:rsidR="007E18C1">
      <w:rPr>
        <w:rStyle w:val="PageNumber"/>
        <w:rFonts w:ascii="Times New Roman" w:hAnsi="Times New Roman"/>
        <w:noProof/>
      </w:rPr>
      <w:t>2</w:t>
    </w:r>
    <w:r w:rsidR="003D3497" w:rsidRPr="00A215E6">
      <w:rPr>
        <w:rStyle w:val="PageNumber"/>
        <w:rFonts w:ascii="Times New Roman" w:hAnsi="Times New Roman"/>
      </w:rPr>
      <w:fldChar w:fldCharType="end"/>
    </w:r>
  </w:p>
  <w:p w14:paraId="3F353288" w14:textId="77777777" w:rsidR="00C50004" w:rsidRPr="00A215E6" w:rsidRDefault="003D3497">
    <w:pPr>
      <w:pStyle w:val="Header"/>
      <w:rPr>
        <w:rFonts w:ascii="Times New Roman" w:hAnsi="Times New Roman"/>
      </w:rPr>
    </w:pPr>
    <w:r w:rsidRPr="00A215E6">
      <w:rPr>
        <w:rFonts w:ascii="Times New Roman" w:hAnsi="Times New Roman"/>
      </w:rPr>
      <w:fldChar w:fldCharType="begin"/>
    </w:r>
    <w:r w:rsidR="00C50004" w:rsidRPr="00A215E6">
      <w:rPr>
        <w:rFonts w:ascii="Times New Roman" w:hAnsi="Times New Roman"/>
      </w:rPr>
      <w:instrText xml:space="preserve"> DATE \@ "MMMM d, yyyy" </w:instrText>
    </w:r>
    <w:r w:rsidRPr="00A215E6">
      <w:rPr>
        <w:rFonts w:ascii="Times New Roman" w:hAnsi="Times New Roman"/>
      </w:rPr>
      <w:fldChar w:fldCharType="separate"/>
    </w:r>
    <w:r w:rsidR="0067594F">
      <w:rPr>
        <w:rFonts w:ascii="Times New Roman" w:hAnsi="Times New Roman"/>
        <w:noProof/>
      </w:rPr>
      <w:t>June 8, 2016</w:t>
    </w:r>
    <w:r w:rsidRPr="00A215E6">
      <w:rPr>
        <w:rFonts w:ascii="Times New Roman" w:hAnsi="Times New Roman"/>
      </w:rPr>
      <w:fldChar w:fldCharType="end"/>
    </w:r>
  </w:p>
  <w:p w14:paraId="76E06FF5" w14:textId="77777777" w:rsidR="00C50004" w:rsidRDefault="00C50004">
    <w:pPr>
      <w:pStyle w:val="Header"/>
    </w:pPr>
  </w:p>
  <w:p w14:paraId="1B340111" w14:textId="77777777" w:rsidR="00C50004" w:rsidRDefault="00C5000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91AB3" w14:textId="77777777" w:rsidR="00094489" w:rsidRPr="00094489" w:rsidRDefault="00094489" w:rsidP="00094489">
    <w:pPr>
      <w:tabs>
        <w:tab w:val="left" w:pos="1440"/>
        <w:tab w:val="right" w:pos="9360"/>
      </w:tabs>
      <w:ind w:left="1440" w:right="-446"/>
      <w:rPr>
        <w:rFonts w:ascii="Avenir Book" w:hAnsi="Avenir Book"/>
        <w:sz w:val="18"/>
      </w:rPr>
    </w:pPr>
    <w:r>
      <w:rPr>
        <w:rFonts w:ascii="Avenir Book" w:hAnsi="Avenir Book"/>
        <w:b/>
        <w:noProof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E38C72" wp14:editId="1C3453D3">
              <wp:simplePos x="0" y="0"/>
              <wp:positionH relativeFrom="column">
                <wp:posOffset>5537200</wp:posOffset>
              </wp:positionH>
              <wp:positionV relativeFrom="paragraph">
                <wp:posOffset>-44450</wp:posOffset>
              </wp:positionV>
              <wp:extent cx="953770" cy="91440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377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B2F8A0" w14:textId="77777777" w:rsidR="00094489" w:rsidRPr="00094489" w:rsidRDefault="00094489" w:rsidP="00094489">
                          <w:pPr>
                            <w:spacing w:line="360" w:lineRule="auto"/>
                            <w:jc w:val="right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094489">
                            <w:rPr>
                              <w:rFonts w:ascii="Century Gothic" w:hAnsi="Century Gothic"/>
                              <w:sz w:val="18"/>
                            </w:rPr>
                            <w:t>Memphis</w:t>
                          </w:r>
                        </w:p>
                        <w:p w14:paraId="34F8F209" w14:textId="77777777" w:rsidR="00094489" w:rsidRPr="00094489" w:rsidRDefault="00094489" w:rsidP="00094489">
                          <w:pPr>
                            <w:spacing w:line="360" w:lineRule="auto"/>
                            <w:jc w:val="right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094489">
                            <w:rPr>
                              <w:rFonts w:ascii="Century Gothic" w:hAnsi="Century Gothic"/>
                              <w:sz w:val="18"/>
                            </w:rPr>
                            <w:t>Knoxville</w:t>
                          </w:r>
                        </w:p>
                        <w:p w14:paraId="4D6A09ED" w14:textId="77777777" w:rsidR="00094489" w:rsidRPr="00094489" w:rsidRDefault="00094489" w:rsidP="00094489">
                          <w:pPr>
                            <w:spacing w:line="360" w:lineRule="auto"/>
                            <w:jc w:val="right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094489">
                            <w:rPr>
                              <w:rFonts w:ascii="Century Gothic" w:hAnsi="Century Gothic"/>
                              <w:sz w:val="18"/>
                            </w:rPr>
                            <w:t>Chattanooga</w:t>
                          </w:r>
                        </w:p>
                        <w:p w14:paraId="780BADF3" w14:textId="77777777" w:rsidR="00094489" w:rsidRPr="00094489" w:rsidRDefault="00094489" w:rsidP="00094489">
                          <w:pPr>
                            <w:spacing w:line="360" w:lineRule="auto"/>
                            <w:jc w:val="right"/>
                            <w:rPr>
                              <w:rFonts w:ascii="Century Gothic" w:hAnsi="Century Gothic"/>
                              <w:sz w:val="18"/>
                            </w:rPr>
                          </w:pPr>
                          <w:r w:rsidRPr="00094489">
                            <w:rPr>
                              <w:rFonts w:ascii="Century Gothic" w:hAnsi="Century Gothic"/>
                              <w:sz w:val="18"/>
                            </w:rPr>
                            <w:t>Nashville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38C72" id="_x0000_t202" coordsize="21600,21600" o:spt="202" path="m0,0l0,21600,21600,21600,21600,0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436pt;margin-top:-3.45pt;width:75.1pt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" filled="f" stroked="f">
              <v:textbox>
                <w:txbxContent>
                  <w:p w14:paraId="68B2F8A0" w14:textId="77777777" w:rsidR="00094489" w:rsidRPr="00094489" w:rsidRDefault="00094489" w:rsidP="00094489">
                    <w:pPr>
                      <w:spacing w:line="360" w:lineRule="auto"/>
                      <w:jc w:val="right"/>
                      <w:rPr>
                        <w:rFonts w:ascii="Century Gothic" w:hAnsi="Century Gothic"/>
                        <w:sz w:val="18"/>
                      </w:rPr>
                    </w:pPr>
                    <w:r w:rsidRPr="00094489">
                      <w:rPr>
                        <w:rFonts w:ascii="Century Gothic" w:hAnsi="Century Gothic"/>
                        <w:sz w:val="18"/>
                      </w:rPr>
                      <w:t>Memphis</w:t>
                    </w:r>
                  </w:p>
                  <w:p w14:paraId="34F8F209" w14:textId="77777777" w:rsidR="00094489" w:rsidRPr="00094489" w:rsidRDefault="00094489" w:rsidP="00094489">
                    <w:pPr>
                      <w:spacing w:line="360" w:lineRule="auto"/>
                      <w:jc w:val="right"/>
                      <w:rPr>
                        <w:rFonts w:ascii="Century Gothic" w:hAnsi="Century Gothic"/>
                        <w:sz w:val="18"/>
                      </w:rPr>
                    </w:pPr>
                    <w:r w:rsidRPr="00094489">
                      <w:rPr>
                        <w:rFonts w:ascii="Century Gothic" w:hAnsi="Century Gothic"/>
                        <w:sz w:val="18"/>
                      </w:rPr>
                      <w:t>Knoxville</w:t>
                    </w:r>
                  </w:p>
                  <w:p w14:paraId="4D6A09ED" w14:textId="77777777" w:rsidR="00094489" w:rsidRPr="00094489" w:rsidRDefault="00094489" w:rsidP="00094489">
                    <w:pPr>
                      <w:spacing w:line="360" w:lineRule="auto"/>
                      <w:jc w:val="right"/>
                      <w:rPr>
                        <w:rFonts w:ascii="Century Gothic" w:hAnsi="Century Gothic"/>
                        <w:sz w:val="18"/>
                      </w:rPr>
                    </w:pPr>
                    <w:r w:rsidRPr="00094489">
                      <w:rPr>
                        <w:rFonts w:ascii="Century Gothic" w:hAnsi="Century Gothic"/>
                        <w:sz w:val="18"/>
                      </w:rPr>
                      <w:t>Chattanooga</w:t>
                    </w:r>
                  </w:p>
                  <w:p w14:paraId="780BADF3" w14:textId="77777777" w:rsidR="00094489" w:rsidRPr="00094489" w:rsidRDefault="00094489" w:rsidP="00094489">
                    <w:pPr>
                      <w:spacing w:line="360" w:lineRule="auto"/>
                      <w:jc w:val="right"/>
                      <w:rPr>
                        <w:rFonts w:ascii="Century Gothic" w:hAnsi="Century Gothic"/>
                        <w:sz w:val="18"/>
                      </w:rPr>
                    </w:pPr>
                    <w:r w:rsidRPr="00094489">
                      <w:rPr>
                        <w:rFonts w:ascii="Century Gothic" w:hAnsi="Century Gothic"/>
                        <w:sz w:val="18"/>
                      </w:rPr>
                      <w:t>Nashville</w:t>
                    </w:r>
                  </w:p>
                </w:txbxContent>
              </v:textbox>
            </v:shape>
          </w:pict>
        </mc:Fallback>
      </mc:AlternateContent>
    </w:r>
    <w:r>
      <w:rPr>
        <w:rFonts w:ascii="Avenir Book" w:hAnsi="Avenir Book"/>
        <w:b/>
        <w:sz w:val="18"/>
      </w:rPr>
      <w:tab/>
    </w:r>
  </w:p>
  <w:p w14:paraId="47C207CA" w14:textId="77777777" w:rsidR="00094489" w:rsidRPr="00094489" w:rsidRDefault="00094489" w:rsidP="00094489">
    <w:pPr>
      <w:tabs>
        <w:tab w:val="left" w:pos="1440"/>
        <w:tab w:val="right" w:pos="9360"/>
      </w:tabs>
      <w:ind w:left="1440" w:right="-420"/>
      <w:rPr>
        <w:rFonts w:ascii="Century Gothic" w:hAnsi="Century Gothic"/>
        <w:b/>
        <w:sz w:val="18"/>
      </w:rPr>
    </w:pPr>
    <w:r w:rsidRPr="00094489">
      <w:rPr>
        <w:rFonts w:ascii="Century Gothic" w:hAnsi="Century Gothic"/>
        <w:noProof/>
        <w:sz w:val="18"/>
      </w:rPr>
      <w:drawing>
        <wp:anchor distT="0" distB="0" distL="114300" distR="114300" simplePos="0" relativeHeight="251661312" behindDoc="0" locked="0" layoutInCell="1" allowOverlap="1" wp14:anchorId="175B0651" wp14:editId="7E7B827D">
          <wp:simplePos x="0" y="0"/>
          <wp:positionH relativeFrom="column">
            <wp:posOffset>-594995</wp:posOffset>
          </wp:positionH>
          <wp:positionV relativeFrom="paragraph">
            <wp:posOffset>-137160</wp:posOffset>
          </wp:positionV>
          <wp:extent cx="1371600" cy="914400"/>
          <wp:effectExtent l="0" t="0" r="0" b="0"/>
          <wp:wrapThrough wrapText="bothSides">
            <wp:wrapPolygon edited="0">
              <wp:start x="6400" y="1200"/>
              <wp:lineTo x="3600" y="7200"/>
              <wp:lineTo x="800" y="11400"/>
              <wp:lineTo x="1200" y="19200"/>
              <wp:lineTo x="20000" y="19200"/>
              <wp:lineTo x="20400" y="12000"/>
              <wp:lineTo x="15600" y="1200"/>
              <wp:lineTo x="6400" y="1200"/>
            </wp:wrapPolygon>
          </wp:wrapThrough>
          <wp:docPr id="5" name="Picture 5" descr="UTHSC CAMPUS LOGO CENTE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THSC CAMPUS LOGO CENTE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4489">
      <w:rPr>
        <w:rFonts w:ascii="Century Gothic" w:hAnsi="Century Gothic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4F7C29" wp14:editId="5AC6B696">
              <wp:simplePos x="0" y="0"/>
              <wp:positionH relativeFrom="column">
                <wp:posOffset>774065</wp:posOffset>
              </wp:positionH>
              <wp:positionV relativeFrom="paragraph">
                <wp:posOffset>-136525</wp:posOffset>
              </wp:positionV>
              <wp:extent cx="0" cy="914400"/>
              <wp:effectExtent l="50800" t="25400" r="76200" b="10160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DA3833" id="Straight_x0020_Connector_x0020_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95pt,-10.7pt" to="60.95pt,6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" strokeweight=".25pt">
              <v:shadow on="t" opacity="24903f" mv:blur="40000f" origin=",.5" offset="0,20000emu"/>
            </v:line>
          </w:pict>
        </mc:Fallback>
      </mc:AlternateContent>
    </w:r>
    <w:r w:rsidR="00430D53" w:rsidRPr="00094489">
      <w:rPr>
        <w:rFonts w:ascii="Century Gothic" w:hAnsi="Century Gothic"/>
        <w:b/>
        <w:sz w:val="18"/>
      </w:rPr>
      <w:t>Office of Finance</w:t>
    </w:r>
    <w:r w:rsidRPr="00094489">
      <w:rPr>
        <w:rFonts w:ascii="Century Gothic" w:hAnsi="Century Gothic"/>
        <w:b/>
        <w:sz w:val="18"/>
      </w:rPr>
      <w:tab/>
    </w:r>
  </w:p>
  <w:p w14:paraId="79B1A426" w14:textId="77777777" w:rsidR="00430D53" w:rsidRPr="00094489" w:rsidRDefault="00430D53" w:rsidP="00094489">
    <w:pPr>
      <w:tabs>
        <w:tab w:val="left" w:pos="1440"/>
        <w:tab w:val="right" w:pos="9360"/>
      </w:tabs>
      <w:ind w:left="1440" w:right="-420"/>
      <w:rPr>
        <w:rFonts w:ascii="Century Gothic" w:hAnsi="Century Gothic"/>
        <w:sz w:val="18"/>
      </w:rPr>
    </w:pPr>
    <w:r w:rsidRPr="00094489">
      <w:rPr>
        <w:rFonts w:ascii="Century Gothic" w:hAnsi="Century Gothic"/>
        <w:sz w:val="18"/>
      </w:rPr>
      <w:t>300 Hyman Building</w:t>
    </w:r>
    <w:r w:rsidR="00094489" w:rsidRPr="00094489">
      <w:rPr>
        <w:rFonts w:ascii="Century Gothic" w:hAnsi="Century Gothic"/>
        <w:sz w:val="18"/>
      </w:rPr>
      <w:tab/>
    </w:r>
  </w:p>
  <w:p w14:paraId="2EF348DB" w14:textId="77777777" w:rsidR="00094489" w:rsidRPr="00094489" w:rsidRDefault="00094489" w:rsidP="00094489">
    <w:pPr>
      <w:tabs>
        <w:tab w:val="left" w:pos="1440"/>
        <w:tab w:val="right" w:pos="9360"/>
      </w:tabs>
      <w:ind w:left="1440" w:right="-420"/>
      <w:rPr>
        <w:rFonts w:ascii="Century Gothic" w:hAnsi="Century Gothic"/>
        <w:sz w:val="18"/>
      </w:rPr>
    </w:pPr>
    <w:r w:rsidRPr="00094489">
      <w:rPr>
        <w:rFonts w:ascii="Century Gothic" w:hAnsi="Century Gothic"/>
        <w:sz w:val="18"/>
      </w:rPr>
      <w:t>62 S. Dunlap Street</w:t>
    </w:r>
    <w:r w:rsidRPr="00094489">
      <w:rPr>
        <w:rFonts w:ascii="Century Gothic" w:hAnsi="Century Gothic"/>
        <w:sz w:val="18"/>
      </w:rPr>
      <w:tab/>
    </w:r>
  </w:p>
  <w:p w14:paraId="463EC78F" w14:textId="77777777" w:rsidR="00430D53" w:rsidRPr="00094489" w:rsidRDefault="00094489" w:rsidP="00094489">
    <w:pPr>
      <w:pStyle w:val="Header"/>
      <w:tabs>
        <w:tab w:val="clear" w:pos="4320"/>
        <w:tab w:val="right" w:pos="9360"/>
      </w:tabs>
      <w:ind w:left="1440"/>
      <w:rPr>
        <w:rFonts w:ascii="Century Gothic" w:hAnsi="Century Gothic"/>
        <w:sz w:val="18"/>
      </w:rPr>
    </w:pPr>
    <w:r w:rsidRPr="00094489">
      <w:rPr>
        <w:rFonts w:ascii="Century Gothic" w:hAnsi="Century Gothic"/>
        <w:sz w:val="18"/>
      </w:rPr>
      <w:t xml:space="preserve">T </w:t>
    </w:r>
    <w:r w:rsidR="00430D53" w:rsidRPr="00094489">
      <w:rPr>
        <w:rFonts w:ascii="Century Gothic" w:hAnsi="Century Gothic"/>
        <w:sz w:val="18"/>
      </w:rPr>
      <w:t>901.448.5523</w:t>
    </w:r>
  </w:p>
  <w:p w14:paraId="717A9628" w14:textId="77777777" w:rsidR="00430D53" w:rsidRDefault="00430D53" w:rsidP="00094489">
    <w:pPr>
      <w:pStyle w:val="Header"/>
      <w:tabs>
        <w:tab w:val="right" w:pos="9360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9311A"/>
    <w:multiLevelType w:val="hybridMultilevel"/>
    <w:tmpl w:val="D0EA4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D56804"/>
    <w:multiLevelType w:val="hybridMultilevel"/>
    <w:tmpl w:val="63F67338"/>
    <w:lvl w:ilvl="0" w:tplc="839683E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9900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>
    <w:nsid w:val="149D7A84"/>
    <w:multiLevelType w:val="hybridMultilevel"/>
    <w:tmpl w:val="49605328"/>
    <w:lvl w:ilvl="0" w:tplc="839683E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9900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839683E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9900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>
    <w:nsid w:val="18BB0648"/>
    <w:multiLevelType w:val="hybridMultilevel"/>
    <w:tmpl w:val="553C34F4"/>
    <w:lvl w:ilvl="0" w:tplc="839683E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9900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1AE74384"/>
    <w:multiLevelType w:val="multilevel"/>
    <w:tmpl w:val="C5504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070EA"/>
    <w:multiLevelType w:val="hybridMultilevel"/>
    <w:tmpl w:val="28C22182"/>
    <w:lvl w:ilvl="0" w:tplc="E42036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65DE8A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990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4B4B61"/>
    <w:multiLevelType w:val="hybridMultilevel"/>
    <w:tmpl w:val="3CDE5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8D3E78"/>
    <w:multiLevelType w:val="hybridMultilevel"/>
    <w:tmpl w:val="A474718E"/>
    <w:lvl w:ilvl="0" w:tplc="E42036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6735F"/>
    <w:multiLevelType w:val="hybridMultilevel"/>
    <w:tmpl w:val="C6E85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FB70118"/>
    <w:multiLevelType w:val="hybridMultilevel"/>
    <w:tmpl w:val="3C6449DC"/>
    <w:lvl w:ilvl="0" w:tplc="E420367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66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B0"/>
    <w:rsid w:val="000010B0"/>
    <w:rsid w:val="00094489"/>
    <w:rsid w:val="000B4AA2"/>
    <w:rsid w:val="001026AE"/>
    <w:rsid w:val="001966D8"/>
    <w:rsid w:val="001A1F05"/>
    <w:rsid w:val="00277797"/>
    <w:rsid w:val="00351A3F"/>
    <w:rsid w:val="003A2CB7"/>
    <w:rsid w:val="003C0252"/>
    <w:rsid w:val="003D3497"/>
    <w:rsid w:val="003F549A"/>
    <w:rsid w:val="00401AD5"/>
    <w:rsid w:val="00430D53"/>
    <w:rsid w:val="004D64F4"/>
    <w:rsid w:val="00563267"/>
    <w:rsid w:val="005B074C"/>
    <w:rsid w:val="005B4260"/>
    <w:rsid w:val="005E5D5D"/>
    <w:rsid w:val="005E7F9F"/>
    <w:rsid w:val="0065049B"/>
    <w:rsid w:val="0067594F"/>
    <w:rsid w:val="006A4520"/>
    <w:rsid w:val="006B0575"/>
    <w:rsid w:val="006E49BB"/>
    <w:rsid w:val="007219D4"/>
    <w:rsid w:val="0072455E"/>
    <w:rsid w:val="00750A1F"/>
    <w:rsid w:val="00771353"/>
    <w:rsid w:val="007941CE"/>
    <w:rsid w:val="007B40A7"/>
    <w:rsid w:val="007E18C1"/>
    <w:rsid w:val="008252D3"/>
    <w:rsid w:val="00833245"/>
    <w:rsid w:val="0083574C"/>
    <w:rsid w:val="0084545C"/>
    <w:rsid w:val="008B3938"/>
    <w:rsid w:val="009021C6"/>
    <w:rsid w:val="00934B21"/>
    <w:rsid w:val="00965833"/>
    <w:rsid w:val="009837BD"/>
    <w:rsid w:val="009B4AA3"/>
    <w:rsid w:val="00A06655"/>
    <w:rsid w:val="00A13C18"/>
    <w:rsid w:val="00A215E6"/>
    <w:rsid w:val="00A24F92"/>
    <w:rsid w:val="00A63886"/>
    <w:rsid w:val="00AB3DAD"/>
    <w:rsid w:val="00AE6EBA"/>
    <w:rsid w:val="00AF004B"/>
    <w:rsid w:val="00B05607"/>
    <w:rsid w:val="00B063BD"/>
    <w:rsid w:val="00B9081C"/>
    <w:rsid w:val="00BA6DF9"/>
    <w:rsid w:val="00BC6781"/>
    <w:rsid w:val="00C02DF3"/>
    <w:rsid w:val="00C50004"/>
    <w:rsid w:val="00D27677"/>
    <w:rsid w:val="00D75A3A"/>
    <w:rsid w:val="00D81723"/>
    <w:rsid w:val="00DF0B25"/>
    <w:rsid w:val="00EC4E0C"/>
    <w:rsid w:val="00EE58AC"/>
    <w:rsid w:val="00F11512"/>
    <w:rsid w:val="00F50CC9"/>
    <w:rsid w:val="00F829F3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08AE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497"/>
    <w:rPr>
      <w:rFonts w:ascii="Georgia" w:hAnsi="Georgia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02DF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15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15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215E6"/>
  </w:style>
  <w:style w:type="paragraph" w:styleId="BalloonText">
    <w:name w:val="Balloon Text"/>
    <w:basedOn w:val="Normal"/>
    <w:link w:val="BalloonTextChar"/>
    <w:rsid w:val="00B908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081C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DF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DF3"/>
    <w:rPr>
      <w:rFonts w:ascii="Georgia" w:hAnsi="Georgia"/>
      <w:i/>
      <w:iCs/>
      <w:color w:val="4F81BD" w:themeColor="accent1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02DF3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02D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DF3"/>
    <w:rPr>
      <w:color w:val="0000FF"/>
      <w:u w:val="single"/>
    </w:rPr>
  </w:style>
  <w:style w:type="character" w:styleId="Emphasis">
    <w:name w:val="Emphasis"/>
    <w:basedOn w:val="DefaultParagraphFont"/>
    <w:qFormat/>
    <w:rsid w:val="00C02DF3"/>
    <w:rPr>
      <w:i/>
      <w:iCs/>
    </w:rPr>
  </w:style>
  <w:style w:type="paragraph" w:styleId="ListParagraph">
    <w:name w:val="List Paragraph"/>
    <w:basedOn w:val="Normal"/>
    <w:uiPriority w:val="34"/>
    <w:qFormat/>
    <w:rsid w:val="00B05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457</Words>
  <Characters>2606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TENNESSEE</vt:lpstr>
    </vt:vector>
  </TitlesOfParts>
  <Company>The University of Tennessee - Institutional Use Only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TENNESSEE</dc:title>
  <dc:creator>Anthony A.  Ferrara</dc:creator>
  <cp:lastModifiedBy>Tony Ferrara</cp:lastModifiedBy>
  <cp:revision>9</cp:revision>
  <cp:lastPrinted>2016-06-08T21:28:00Z</cp:lastPrinted>
  <dcterms:created xsi:type="dcterms:W3CDTF">2016-06-03T18:25:00Z</dcterms:created>
  <dcterms:modified xsi:type="dcterms:W3CDTF">2016-06-09T12:53:00Z</dcterms:modified>
</cp:coreProperties>
</file>