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E594" w14:textId="77777777" w:rsidR="00986B18" w:rsidRDefault="00850D37">
      <w:pPr>
        <w:tabs>
          <w:tab w:val="left" w:pos="6591"/>
        </w:tabs>
        <w:spacing w:line="475" w:lineRule="exact"/>
        <w:ind w:left="137"/>
        <w:rPr>
          <w:rFonts w:ascii="Calibri-Light"/>
          <w:sz w:val="40"/>
        </w:rPr>
      </w:pPr>
      <w:r>
        <w:pict w14:anchorId="6F2F0FB8">
          <v:line id="_x0000_s1026" alt="" style="position:absolute;left:0;text-align:left;z-index:251657728;mso-wrap-edited:f;mso-width-percent:0;mso-height-percent:0;mso-wrap-distance-left:0;mso-wrap-distance-right:0;mso-position-horizontal-relative:page;mso-width-percent:0;mso-height-percent:0" from="37.4pt,29.05pt" to="577.4pt,29.05pt" strokeweight="1.5pt">
            <w10:wrap type="topAndBottom" anchorx="page"/>
          </v:line>
        </w:pict>
      </w:r>
      <w:r>
        <w:rPr>
          <w:noProof/>
        </w:rPr>
        <w:drawing>
          <wp:inline distT="0" distB="0" distL="0" distR="0" wp14:anchorId="34DCB319" wp14:editId="11CF97D5">
            <wp:extent cx="1296770" cy="1816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96770" cy="181608"/>
                    </a:xfrm>
                    <a:prstGeom prst="rect">
                      <a:avLst/>
                    </a:prstGeom>
                  </pic:spPr>
                </pic:pic>
              </a:graphicData>
            </a:graphic>
          </wp:inline>
        </w:drawing>
      </w:r>
      <w:r>
        <w:rPr>
          <w:rFonts w:ascii="Times New Roman"/>
          <w:position w:val="1"/>
          <w:sz w:val="20"/>
        </w:rPr>
        <w:tab/>
      </w:r>
      <w:r>
        <w:rPr>
          <w:rFonts w:ascii="Times New Roman"/>
          <w:spacing w:val="11"/>
          <w:position w:val="1"/>
          <w:sz w:val="20"/>
        </w:rPr>
        <w:t xml:space="preserve"> </w:t>
      </w:r>
      <w:r>
        <w:rPr>
          <w:rFonts w:ascii="Calibri-Light"/>
          <w:spacing w:val="-13"/>
          <w:position w:val="1"/>
          <w:sz w:val="40"/>
        </w:rPr>
        <w:t xml:space="preserve">EXPENSE: </w:t>
      </w:r>
      <w:r>
        <w:rPr>
          <w:rFonts w:ascii="Calibri-Light"/>
          <w:spacing w:val="-15"/>
          <w:position w:val="1"/>
          <w:sz w:val="40"/>
        </w:rPr>
        <w:t>Non-travel</w:t>
      </w:r>
      <w:r>
        <w:rPr>
          <w:rFonts w:ascii="Calibri-Light"/>
          <w:spacing w:val="-28"/>
          <w:position w:val="1"/>
          <w:sz w:val="40"/>
        </w:rPr>
        <w:t xml:space="preserve"> </w:t>
      </w:r>
      <w:r>
        <w:rPr>
          <w:rFonts w:ascii="Calibri-Light"/>
          <w:spacing w:val="-15"/>
          <w:position w:val="1"/>
          <w:sz w:val="40"/>
        </w:rPr>
        <w:t>Charges</w:t>
      </w:r>
    </w:p>
    <w:p w14:paraId="512D0B0C" w14:textId="77777777" w:rsidR="00986B18" w:rsidRDefault="00986B18">
      <w:pPr>
        <w:pStyle w:val="BodyText"/>
        <w:spacing w:before="5"/>
        <w:rPr>
          <w:rFonts w:ascii="Calibri-Light"/>
          <w:sz w:val="17"/>
        </w:rPr>
      </w:pPr>
    </w:p>
    <w:p w14:paraId="480DB29C" w14:textId="77777777" w:rsidR="00986B18" w:rsidRDefault="00850D37">
      <w:pPr>
        <w:pStyle w:val="BodyText"/>
        <w:spacing w:before="55"/>
        <w:ind w:left="120"/>
      </w:pPr>
      <w:r>
        <w:rPr>
          <w:color w:val="5A5A5A"/>
          <w:spacing w:val="11"/>
        </w:rPr>
        <w:t xml:space="preserve">Non-Travel </w:t>
      </w:r>
      <w:r>
        <w:rPr>
          <w:color w:val="5A5A5A"/>
          <w:spacing w:val="10"/>
        </w:rPr>
        <w:t>Travel Card</w:t>
      </w:r>
      <w:r>
        <w:rPr>
          <w:color w:val="5A5A5A"/>
          <w:spacing w:val="62"/>
        </w:rPr>
        <w:t xml:space="preserve"> </w:t>
      </w:r>
      <w:r>
        <w:rPr>
          <w:color w:val="5A5A5A"/>
          <w:spacing w:val="11"/>
        </w:rPr>
        <w:t>Charges</w:t>
      </w:r>
    </w:p>
    <w:p w14:paraId="5089F00D" w14:textId="77777777" w:rsidR="00986B18" w:rsidRDefault="00850D37">
      <w:pPr>
        <w:pStyle w:val="BodyText"/>
        <w:spacing w:before="1" w:line="259" w:lineRule="auto"/>
        <w:ind w:left="120" w:right="230"/>
      </w:pPr>
      <w:r>
        <w:rPr>
          <w:color w:val="2B2B2B"/>
        </w:rPr>
        <w:t xml:space="preserve">While the Concur Travel and Expense system was originally implemented at UT for travel-related expenses, University Fiscal Policy </w:t>
      </w:r>
      <w:hyperlink r:id="rId6">
        <w:r>
          <w:rPr>
            <w:color w:val="0562C1"/>
            <w:u w:val="single" w:color="0562C1"/>
          </w:rPr>
          <w:t>FI0531 – Travel Cards</w:t>
        </w:r>
        <w:r>
          <w:rPr>
            <w:color w:val="0562C1"/>
            <w:u w:val="single" w:color="0562C1"/>
          </w:rPr>
          <w:t xml:space="preserve"> </w:t>
        </w:r>
      </w:hyperlink>
      <w:r>
        <w:rPr>
          <w:color w:val="2B2B2B"/>
        </w:rPr>
        <w:t>policy was modified in September, 2021 to allow the use of a University travel card to pay for busi</w:t>
      </w:r>
      <w:r>
        <w:rPr>
          <w:color w:val="2B2B2B"/>
        </w:rPr>
        <w:t xml:space="preserve">ness meals at an employee’s official location. These charges must comply with Fiscal Policy </w:t>
      </w:r>
      <w:hyperlink r:id="rId7">
        <w:r>
          <w:rPr>
            <w:color w:val="0562C1"/>
            <w:u w:val="single" w:color="0562C1"/>
          </w:rPr>
          <w:t>FI0715 –</w:t>
        </w:r>
      </w:hyperlink>
      <w:r>
        <w:rPr>
          <w:color w:val="0562C1"/>
        </w:rPr>
        <w:t xml:space="preserve"> </w:t>
      </w:r>
      <w:hyperlink r:id="rId8">
        <w:r>
          <w:rPr>
            <w:color w:val="0562C1"/>
            <w:u w:val="single" w:color="0562C1"/>
          </w:rPr>
          <w:t>Entertainment, Group Arranged Events, Food and</w:t>
        </w:r>
        <w:r>
          <w:rPr>
            <w:color w:val="0562C1"/>
            <w:u w:val="single" w:color="0562C1"/>
          </w:rPr>
          <w:t xml:space="preserve"> Housing Purchases for UT Sponsored Conferences and Seminars</w:t>
        </w:r>
        <w:r>
          <w:rPr>
            <w:color w:val="0562C1"/>
            <w:u w:val="single" w:color="0562C1"/>
          </w:rPr>
          <w:t xml:space="preserve"> </w:t>
        </w:r>
      </w:hyperlink>
      <w:r>
        <w:rPr>
          <w:color w:val="2B2B2B"/>
        </w:rPr>
        <w:t>and with your campus/institute proced</w:t>
      </w:r>
      <w:r>
        <w:rPr>
          <w:color w:val="2B2B2B"/>
        </w:rPr>
        <w:t>ures.</w:t>
      </w:r>
    </w:p>
    <w:p w14:paraId="56CAF358" w14:textId="77777777" w:rsidR="00986B18" w:rsidRDefault="00850D37">
      <w:pPr>
        <w:pStyle w:val="BodyText"/>
        <w:spacing w:before="157" w:line="259" w:lineRule="auto"/>
        <w:ind w:left="119" w:right="230"/>
      </w:pPr>
      <w:r>
        <w:t>The trip business purpose Non-Travel Travel Card Charges was created for use with these local charges since they are not associated with travel. This business purpose can only be used with UT travel card charges. It is designed for the payment and re</w:t>
      </w:r>
      <w:r>
        <w:t xml:space="preserve">imbursement of expenses for local Entertainment and Group Arranged Events. Out-of-pocket expenses for these local expenses will continue to be reimbursed through petty cash. </w:t>
      </w:r>
      <w:r>
        <w:rPr>
          <w:color w:val="2B2B2B"/>
        </w:rPr>
        <w:t>This business purpose should not be used for travel-related expenses.</w:t>
      </w:r>
    </w:p>
    <w:p w14:paraId="42E661E4" w14:textId="77777777" w:rsidR="00986B18" w:rsidRDefault="00850D37">
      <w:pPr>
        <w:pStyle w:val="BodyText"/>
        <w:spacing w:before="159" w:line="259" w:lineRule="auto"/>
        <w:ind w:left="120" w:right="265"/>
      </w:pPr>
      <w:r>
        <w:rPr>
          <w:color w:val="2B2B2B"/>
        </w:rPr>
        <w:t xml:space="preserve">The trip type associated with this business purpose should be based on the location of the official </w:t>
      </w:r>
      <w:proofErr w:type="gramStart"/>
      <w:r>
        <w:rPr>
          <w:color w:val="2B2B2B"/>
        </w:rPr>
        <w:t>work station</w:t>
      </w:r>
      <w:proofErr w:type="gramEnd"/>
      <w:r>
        <w:rPr>
          <w:color w:val="2B2B2B"/>
        </w:rPr>
        <w:t xml:space="preserve"> where the expenses are incurred. As these expenses are not related to travel, a travel request is not required. This applies to all out-of-stat</w:t>
      </w:r>
      <w:r>
        <w:rPr>
          <w:color w:val="2B2B2B"/>
        </w:rPr>
        <w:t>e trips as well as in-state.</w:t>
      </w:r>
    </w:p>
    <w:p w14:paraId="1B464963" w14:textId="77777777" w:rsidR="00986B18" w:rsidRDefault="00850D37">
      <w:pPr>
        <w:pStyle w:val="BodyText"/>
        <w:spacing w:before="160"/>
        <w:ind w:left="119"/>
      </w:pPr>
      <w:r>
        <w:t>There are a limited number of expense types that can be charged to this business purposes. These expense types are:</w:t>
      </w:r>
    </w:p>
    <w:p w14:paraId="727A2178" w14:textId="77777777" w:rsidR="00986B18" w:rsidRDefault="00850D37">
      <w:pPr>
        <w:pStyle w:val="ListParagraph"/>
        <w:numPr>
          <w:ilvl w:val="0"/>
          <w:numId w:val="1"/>
        </w:numPr>
        <w:tabs>
          <w:tab w:val="left" w:pos="839"/>
          <w:tab w:val="left" w:pos="840"/>
        </w:tabs>
      </w:pPr>
      <w:r>
        <w:t>Group Arranged</w:t>
      </w:r>
      <w:r>
        <w:rPr>
          <w:spacing w:val="-2"/>
        </w:rPr>
        <w:t xml:space="preserve"> </w:t>
      </w:r>
      <w:r>
        <w:t>Meals/Events</w:t>
      </w:r>
    </w:p>
    <w:p w14:paraId="5262F5E0" w14:textId="77777777" w:rsidR="00986B18" w:rsidRDefault="00850D37">
      <w:pPr>
        <w:pStyle w:val="ListParagraph"/>
        <w:numPr>
          <w:ilvl w:val="0"/>
          <w:numId w:val="1"/>
        </w:numPr>
        <w:tabs>
          <w:tab w:val="left" w:pos="839"/>
          <w:tab w:val="left" w:pos="840"/>
        </w:tabs>
        <w:spacing w:before="11"/>
      </w:pPr>
      <w:r>
        <w:t>Entertainment</w:t>
      </w:r>
    </w:p>
    <w:p w14:paraId="397F60D3" w14:textId="77777777" w:rsidR="00986B18" w:rsidRDefault="00850D37">
      <w:pPr>
        <w:pStyle w:val="ListParagraph"/>
        <w:numPr>
          <w:ilvl w:val="0"/>
          <w:numId w:val="1"/>
        </w:numPr>
        <w:tabs>
          <w:tab w:val="left" w:pos="839"/>
          <w:tab w:val="left" w:pos="840"/>
        </w:tabs>
      </w:pPr>
      <w:r>
        <w:t>Non-Reimbursable or</w:t>
      </w:r>
      <w:r>
        <w:rPr>
          <w:spacing w:val="-3"/>
        </w:rPr>
        <w:t xml:space="preserve"> </w:t>
      </w:r>
      <w:r>
        <w:t>Personal</w:t>
      </w:r>
    </w:p>
    <w:p w14:paraId="66B25F4F" w14:textId="77777777" w:rsidR="00986B18" w:rsidRDefault="00986B18">
      <w:pPr>
        <w:pStyle w:val="BodyText"/>
      </w:pPr>
    </w:p>
    <w:p w14:paraId="63FF3FAD" w14:textId="77777777" w:rsidR="00986B18" w:rsidRDefault="00850D37">
      <w:pPr>
        <w:pStyle w:val="BodyText"/>
        <w:spacing w:line="259" w:lineRule="auto"/>
        <w:ind w:left="119" w:right="742"/>
      </w:pPr>
      <w:r>
        <w:t>The accounting entries for these expens</w:t>
      </w:r>
      <w:r>
        <w:t>es will continue to be charged to the same GLs to which they are currently charged:</w:t>
      </w:r>
    </w:p>
    <w:p w14:paraId="523AB1DA" w14:textId="77777777" w:rsidR="00986B18" w:rsidRDefault="00850D37">
      <w:pPr>
        <w:pStyle w:val="ListParagraph"/>
        <w:numPr>
          <w:ilvl w:val="0"/>
          <w:numId w:val="1"/>
        </w:numPr>
        <w:tabs>
          <w:tab w:val="left" w:pos="893"/>
          <w:tab w:val="left" w:pos="894"/>
        </w:tabs>
        <w:spacing w:before="171"/>
        <w:ind w:left="893"/>
      </w:pPr>
      <w:r>
        <w:t>446200 for Group Arranged</w:t>
      </w:r>
      <w:r>
        <w:rPr>
          <w:spacing w:val="-4"/>
        </w:rPr>
        <w:t xml:space="preserve"> </w:t>
      </w:r>
      <w:r>
        <w:t>Meals/Events</w:t>
      </w:r>
    </w:p>
    <w:p w14:paraId="30C5E884" w14:textId="77777777" w:rsidR="00986B18" w:rsidRDefault="00850D37">
      <w:pPr>
        <w:pStyle w:val="ListParagraph"/>
        <w:numPr>
          <w:ilvl w:val="0"/>
          <w:numId w:val="1"/>
        </w:numPr>
        <w:tabs>
          <w:tab w:val="left" w:pos="892"/>
          <w:tab w:val="left" w:pos="893"/>
        </w:tabs>
        <w:spacing w:before="34"/>
        <w:ind w:left="892" w:hanging="359"/>
      </w:pPr>
      <w:r>
        <w:t>449200 for</w:t>
      </w:r>
      <w:r>
        <w:rPr>
          <w:spacing w:val="-3"/>
        </w:rPr>
        <w:t xml:space="preserve"> </w:t>
      </w:r>
      <w:r>
        <w:t>Entertainment</w:t>
      </w:r>
    </w:p>
    <w:p w14:paraId="3CFA5A9B" w14:textId="342004EE" w:rsidR="00986B18" w:rsidRDefault="00850D37" w:rsidP="00377129">
      <w:pPr>
        <w:pStyle w:val="BodyText"/>
        <w:spacing w:before="181" w:line="259" w:lineRule="auto"/>
        <w:ind w:left="118" w:right="1554"/>
        <w:rPr>
          <w:sz w:val="20"/>
        </w:rPr>
      </w:pPr>
      <w:r>
        <w:t xml:space="preserve">If you have questions or need additional assistance utilizing the University’s travel system, please contact </w:t>
      </w:r>
      <w:r w:rsidR="00377129">
        <w:t xml:space="preserve">Jonathan Lawshe at </w:t>
      </w:r>
      <w:hyperlink r:id="rId9" w:history="1">
        <w:r w:rsidR="00377129" w:rsidRPr="00E72E9C">
          <w:rPr>
            <w:rStyle w:val="Hyperlink"/>
          </w:rPr>
          <w:t>jlawshe@uthsc.edu</w:t>
        </w:r>
      </w:hyperlink>
      <w:r w:rsidR="00377129">
        <w:t xml:space="preserve"> or </w:t>
      </w:r>
      <w:proofErr w:type="spellStart"/>
      <w:r w:rsidR="00377129">
        <w:t>Keysha</w:t>
      </w:r>
      <w:proofErr w:type="spellEnd"/>
      <w:r w:rsidR="00377129">
        <w:t xml:space="preserve"> Fuller at </w:t>
      </w:r>
      <w:hyperlink r:id="rId10" w:history="1">
        <w:r w:rsidR="00377129" w:rsidRPr="00E72E9C">
          <w:rPr>
            <w:rStyle w:val="Hyperlink"/>
          </w:rPr>
          <w:t>kfulle19@uthsc.edu</w:t>
        </w:r>
      </w:hyperlink>
      <w:r w:rsidR="00377129">
        <w:t xml:space="preserve">. </w:t>
      </w:r>
    </w:p>
    <w:p w14:paraId="6B72C9BE" w14:textId="77777777" w:rsidR="00986B18" w:rsidRDefault="00986B18">
      <w:pPr>
        <w:pStyle w:val="BodyText"/>
        <w:rPr>
          <w:sz w:val="20"/>
        </w:rPr>
      </w:pPr>
    </w:p>
    <w:p w14:paraId="2DB26B45" w14:textId="77777777" w:rsidR="00986B18" w:rsidRDefault="00986B18">
      <w:pPr>
        <w:pStyle w:val="BodyText"/>
        <w:rPr>
          <w:sz w:val="20"/>
        </w:rPr>
      </w:pPr>
    </w:p>
    <w:p w14:paraId="30CA099D" w14:textId="77777777" w:rsidR="00986B18" w:rsidRDefault="00986B18">
      <w:pPr>
        <w:pStyle w:val="BodyText"/>
        <w:rPr>
          <w:sz w:val="20"/>
        </w:rPr>
      </w:pPr>
    </w:p>
    <w:p w14:paraId="51DF93D1" w14:textId="77777777" w:rsidR="00986B18" w:rsidRDefault="00986B18">
      <w:pPr>
        <w:pStyle w:val="BodyText"/>
        <w:rPr>
          <w:sz w:val="20"/>
        </w:rPr>
      </w:pPr>
    </w:p>
    <w:p w14:paraId="09369338" w14:textId="77777777" w:rsidR="00986B18" w:rsidRDefault="00986B18">
      <w:pPr>
        <w:pStyle w:val="BodyText"/>
        <w:rPr>
          <w:sz w:val="20"/>
        </w:rPr>
      </w:pPr>
    </w:p>
    <w:p w14:paraId="0DBA7A1A" w14:textId="77777777" w:rsidR="00986B18" w:rsidRDefault="00986B18">
      <w:pPr>
        <w:pStyle w:val="BodyText"/>
        <w:rPr>
          <w:sz w:val="20"/>
        </w:rPr>
      </w:pPr>
    </w:p>
    <w:p w14:paraId="45EAF81C" w14:textId="77777777" w:rsidR="00986B18" w:rsidRDefault="00986B18">
      <w:pPr>
        <w:pStyle w:val="BodyText"/>
        <w:rPr>
          <w:sz w:val="20"/>
        </w:rPr>
      </w:pPr>
    </w:p>
    <w:p w14:paraId="623D1AA5" w14:textId="77777777" w:rsidR="00986B18" w:rsidRDefault="00986B18">
      <w:pPr>
        <w:pStyle w:val="BodyText"/>
        <w:rPr>
          <w:sz w:val="20"/>
        </w:rPr>
      </w:pPr>
    </w:p>
    <w:p w14:paraId="5D3408ED" w14:textId="77777777" w:rsidR="00986B18" w:rsidRDefault="00986B18">
      <w:pPr>
        <w:pStyle w:val="BodyText"/>
        <w:rPr>
          <w:sz w:val="20"/>
        </w:rPr>
      </w:pPr>
    </w:p>
    <w:p w14:paraId="304755E6" w14:textId="77777777" w:rsidR="00986B18" w:rsidRDefault="00986B18">
      <w:pPr>
        <w:pStyle w:val="BodyText"/>
        <w:rPr>
          <w:sz w:val="20"/>
        </w:rPr>
      </w:pPr>
    </w:p>
    <w:p w14:paraId="3BB71E50" w14:textId="77777777" w:rsidR="00986B18" w:rsidRDefault="00986B18">
      <w:pPr>
        <w:pStyle w:val="BodyText"/>
        <w:rPr>
          <w:sz w:val="20"/>
        </w:rPr>
      </w:pPr>
    </w:p>
    <w:p w14:paraId="7B12C105" w14:textId="77777777" w:rsidR="00986B18" w:rsidRDefault="00986B18">
      <w:pPr>
        <w:pStyle w:val="BodyText"/>
        <w:rPr>
          <w:sz w:val="20"/>
        </w:rPr>
      </w:pPr>
    </w:p>
    <w:p w14:paraId="1983D47B" w14:textId="77777777" w:rsidR="00986B18" w:rsidRDefault="00986B18">
      <w:pPr>
        <w:pStyle w:val="BodyText"/>
        <w:rPr>
          <w:sz w:val="20"/>
        </w:rPr>
      </w:pPr>
    </w:p>
    <w:p w14:paraId="717B294E" w14:textId="77777777" w:rsidR="00986B18" w:rsidRDefault="00986B18">
      <w:pPr>
        <w:pStyle w:val="BodyText"/>
        <w:rPr>
          <w:sz w:val="20"/>
        </w:rPr>
      </w:pPr>
    </w:p>
    <w:p w14:paraId="1CEC7F23" w14:textId="77777777" w:rsidR="00986B18" w:rsidRDefault="00986B18">
      <w:pPr>
        <w:pStyle w:val="BodyText"/>
        <w:rPr>
          <w:sz w:val="20"/>
        </w:rPr>
      </w:pPr>
    </w:p>
    <w:p w14:paraId="37D62779" w14:textId="77777777" w:rsidR="00986B18" w:rsidRDefault="00986B18">
      <w:pPr>
        <w:pStyle w:val="BodyText"/>
        <w:rPr>
          <w:sz w:val="20"/>
        </w:rPr>
      </w:pPr>
    </w:p>
    <w:p w14:paraId="2DB52AEB" w14:textId="77777777" w:rsidR="00986B18" w:rsidRDefault="00986B18">
      <w:pPr>
        <w:pStyle w:val="BodyText"/>
        <w:rPr>
          <w:sz w:val="20"/>
        </w:rPr>
      </w:pPr>
    </w:p>
    <w:p w14:paraId="1A3C4AAC" w14:textId="77777777" w:rsidR="00986B18" w:rsidRDefault="00986B18">
      <w:pPr>
        <w:pStyle w:val="BodyText"/>
        <w:rPr>
          <w:sz w:val="20"/>
        </w:rPr>
      </w:pPr>
    </w:p>
    <w:p w14:paraId="16095F09" w14:textId="77777777" w:rsidR="00986B18" w:rsidRDefault="00986B18">
      <w:pPr>
        <w:pStyle w:val="BodyText"/>
        <w:rPr>
          <w:sz w:val="20"/>
        </w:rPr>
      </w:pPr>
    </w:p>
    <w:p w14:paraId="008F98BE" w14:textId="77777777" w:rsidR="00986B18" w:rsidRDefault="00986B18">
      <w:pPr>
        <w:pStyle w:val="BodyText"/>
        <w:spacing w:before="8"/>
        <w:rPr>
          <w:sz w:val="29"/>
        </w:rPr>
      </w:pPr>
    </w:p>
    <w:p w14:paraId="1FE3548B" w14:textId="77777777" w:rsidR="00986B18" w:rsidRDefault="00850D37">
      <w:pPr>
        <w:tabs>
          <w:tab w:val="left" w:pos="5344"/>
          <w:tab w:val="left" w:pos="8197"/>
        </w:tabs>
        <w:spacing w:before="64"/>
        <w:ind w:left="120"/>
        <w:rPr>
          <w:sz w:val="18"/>
        </w:rPr>
      </w:pPr>
      <w:r>
        <w:rPr>
          <w:color w:val="7E7E7E"/>
          <w:sz w:val="18"/>
        </w:rPr>
        <w:t>Updated:</w:t>
      </w:r>
      <w:r>
        <w:rPr>
          <w:color w:val="7E7E7E"/>
          <w:spacing w:val="-3"/>
          <w:sz w:val="18"/>
        </w:rPr>
        <w:t xml:space="preserve"> </w:t>
      </w:r>
      <w:r>
        <w:rPr>
          <w:color w:val="7E7E7E"/>
          <w:sz w:val="18"/>
        </w:rPr>
        <w:t>01-25-2022</w:t>
      </w:r>
      <w:r>
        <w:rPr>
          <w:color w:val="7E7E7E"/>
          <w:sz w:val="18"/>
        </w:rPr>
        <w:tab/>
        <w:t>v 1.0</w:t>
      </w:r>
      <w:r>
        <w:rPr>
          <w:color w:val="7E7E7E"/>
          <w:sz w:val="18"/>
        </w:rPr>
        <w:tab/>
        <w:t>EXPENSE: Non-travel Charges | 1 of</w:t>
      </w:r>
      <w:r>
        <w:rPr>
          <w:color w:val="7E7E7E"/>
          <w:spacing w:val="-10"/>
          <w:sz w:val="18"/>
        </w:rPr>
        <w:t xml:space="preserve"> </w:t>
      </w:r>
      <w:r>
        <w:rPr>
          <w:color w:val="7E7E7E"/>
          <w:sz w:val="18"/>
        </w:rPr>
        <w:t>1</w:t>
      </w:r>
    </w:p>
    <w:sectPr w:rsidR="00986B18">
      <w:type w:val="continuous"/>
      <w:pgSz w:w="12240" w:h="15840"/>
      <w:pgMar w:top="44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Light">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52207"/>
    <w:multiLevelType w:val="hybridMultilevel"/>
    <w:tmpl w:val="2486B324"/>
    <w:lvl w:ilvl="0" w:tplc="0D0C0AF8">
      <w:numFmt w:val="bullet"/>
      <w:lvlText w:val="•"/>
      <w:lvlJc w:val="left"/>
      <w:pPr>
        <w:ind w:left="839" w:hanging="360"/>
      </w:pPr>
      <w:rPr>
        <w:rFonts w:ascii="Arial" w:eastAsia="Arial" w:hAnsi="Arial" w:cs="Arial" w:hint="default"/>
        <w:w w:val="131"/>
        <w:sz w:val="22"/>
        <w:szCs w:val="22"/>
        <w:lang w:val="en-US" w:eastAsia="en-US" w:bidi="en-US"/>
      </w:rPr>
    </w:lvl>
    <w:lvl w:ilvl="1" w:tplc="1056203A">
      <w:numFmt w:val="bullet"/>
      <w:lvlText w:val="•"/>
      <w:lvlJc w:val="left"/>
      <w:pPr>
        <w:ind w:left="1864" w:hanging="360"/>
      </w:pPr>
      <w:rPr>
        <w:rFonts w:hint="default"/>
        <w:lang w:val="en-US" w:eastAsia="en-US" w:bidi="en-US"/>
      </w:rPr>
    </w:lvl>
    <w:lvl w:ilvl="2" w:tplc="A03A7E9E">
      <w:numFmt w:val="bullet"/>
      <w:lvlText w:val="•"/>
      <w:lvlJc w:val="left"/>
      <w:pPr>
        <w:ind w:left="2888" w:hanging="360"/>
      </w:pPr>
      <w:rPr>
        <w:rFonts w:hint="default"/>
        <w:lang w:val="en-US" w:eastAsia="en-US" w:bidi="en-US"/>
      </w:rPr>
    </w:lvl>
    <w:lvl w:ilvl="3" w:tplc="15944354">
      <w:numFmt w:val="bullet"/>
      <w:lvlText w:val="•"/>
      <w:lvlJc w:val="left"/>
      <w:pPr>
        <w:ind w:left="3912" w:hanging="360"/>
      </w:pPr>
      <w:rPr>
        <w:rFonts w:hint="default"/>
        <w:lang w:val="en-US" w:eastAsia="en-US" w:bidi="en-US"/>
      </w:rPr>
    </w:lvl>
    <w:lvl w:ilvl="4" w:tplc="39C0F674">
      <w:numFmt w:val="bullet"/>
      <w:lvlText w:val="•"/>
      <w:lvlJc w:val="left"/>
      <w:pPr>
        <w:ind w:left="4936" w:hanging="360"/>
      </w:pPr>
      <w:rPr>
        <w:rFonts w:hint="default"/>
        <w:lang w:val="en-US" w:eastAsia="en-US" w:bidi="en-US"/>
      </w:rPr>
    </w:lvl>
    <w:lvl w:ilvl="5" w:tplc="6D54ABF0">
      <w:numFmt w:val="bullet"/>
      <w:lvlText w:val="•"/>
      <w:lvlJc w:val="left"/>
      <w:pPr>
        <w:ind w:left="5960" w:hanging="360"/>
      </w:pPr>
      <w:rPr>
        <w:rFonts w:hint="default"/>
        <w:lang w:val="en-US" w:eastAsia="en-US" w:bidi="en-US"/>
      </w:rPr>
    </w:lvl>
    <w:lvl w:ilvl="6" w:tplc="80CEF4A4">
      <w:numFmt w:val="bullet"/>
      <w:lvlText w:val="•"/>
      <w:lvlJc w:val="left"/>
      <w:pPr>
        <w:ind w:left="6984" w:hanging="360"/>
      </w:pPr>
      <w:rPr>
        <w:rFonts w:hint="default"/>
        <w:lang w:val="en-US" w:eastAsia="en-US" w:bidi="en-US"/>
      </w:rPr>
    </w:lvl>
    <w:lvl w:ilvl="7" w:tplc="DC7CFE4E">
      <w:numFmt w:val="bullet"/>
      <w:lvlText w:val="•"/>
      <w:lvlJc w:val="left"/>
      <w:pPr>
        <w:ind w:left="8008" w:hanging="360"/>
      </w:pPr>
      <w:rPr>
        <w:rFonts w:hint="default"/>
        <w:lang w:val="en-US" w:eastAsia="en-US" w:bidi="en-US"/>
      </w:rPr>
    </w:lvl>
    <w:lvl w:ilvl="8" w:tplc="807A668A">
      <w:numFmt w:val="bullet"/>
      <w:lvlText w:val="•"/>
      <w:lvlJc w:val="left"/>
      <w:pPr>
        <w:ind w:left="9032" w:hanging="360"/>
      </w:pPr>
      <w:rPr>
        <w:rFonts w:hint="default"/>
        <w:lang w:val="en-US" w:eastAsia="en-US" w:bidi="en-US"/>
      </w:rPr>
    </w:lvl>
  </w:abstractNum>
  <w:num w:numId="1" w16cid:durableId="95409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86B18"/>
    <w:rsid w:val="00377129"/>
    <w:rsid w:val="00850D37"/>
    <w:rsid w:val="0098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9ACFC"/>
  <w15:docId w15:val="{24513050-A92B-E549-A999-6D3D7B68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77129"/>
    <w:rPr>
      <w:color w:val="0000FF" w:themeColor="hyperlink"/>
      <w:u w:val="single"/>
    </w:rPr>
  </w:style>
  <w:style w:type="character" w:styleId="UnresolvedMention">
    <w:name w:val="Unresolved Mention"/>
    <w:basedOn w:val="DefaultParagraphFont"/>
    <w:uiPriority w:val="99"/>
    <w:semiHidden/>
    <w:unhideWhenUsed/>
    <w:rsid w:val="0037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iversitytennessee.policytech.com/dotNet/documents/?docid=590&amp;amp;public=true" TargetMode="External"/><Relationship Id="rId3" Type="http://schemas.openxmlformats.org/officeDocument/2006/relationships/settings" Target="settings.xml"/><Relationship Id="rId7" Type="http://schemas.openxmlformats.org/officeDocument/2006/relationships/hyperlink" Target="https://universitytennessee.policytech.com/dotNet/documents/?docid=590&amp;amp;public=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sitytennessee.policytech.com/dotNet/documents/?docid=834&amp;amp;public=tru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fulle19@uthsc.edu" TargetMode="External"/><Relationship Id="rId4" Type="http://schemas.openxmlformats.org/officeDocument/2006/relationships/webSettings" Target="webSettings.xml"/><Relationship Id="rId9" Type="http://schemas.openxmlformats.org/officeDocument/2006/relationships/hyperlink" Target="mailto:jlawshe@ut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Tipton, Emily Lynnette</dc:creator>
  <cp:lastModifiedBy>Lawshe, Jonathan D</cp:lastModifiedBy>
  <cp:revision>2</cp:revision>
  <dcterms:created xsi:type="dcterms:W3CDTF">2022-05-13T16:19:00Z</dcterms:created>
  <dcterms:modified xsi:type="dcterms:W3CDTF">2022-05-13T16:21:00Z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2022-05-12T00:00:00Z</vt:filetime>
  </property>
  <property fmtid="{D5CDD505-2E9C-101B-9397-08002B2CF9AE}" pid="3" name="Creator">
    <vt:lpwstr>Acrobat PDFMaker 22 for Word</vt:lpwstr>
  </property>
  <property fmtid="{D5CDD505-2E9C-101B-9397-08002B2CF9AE}" pid="4" name="LastSaved">
    <vt:filetime>2022-05-13T00:00:00Z</vt:filetime>
  </property>
</Properties>
</file>