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10656"/>
      </w:tblGrid>
      <w:tr w:rsidR="00BC1410" w:rsidRPr="00976474" w14:paraId="570C8C80" w14:textId="77777777" w:rsidTr="00E616BB">
        <w:trPr>
          <w:cantSplit/>
          <w:trHeight w:hRule="exact" w:val="86"/>
          <w:jc w:val="center"/>
        </w:trPr>
        <w:tc>
          <w:tcPr>
            <w:tcW w:w="10656" w:type="dxa"/>
            <w:tcBorders>
              <w:left w:val="nil"/>
              <w:bottom w:val="single" w:sz="6" w:space="0" w:color="auto"/>
              <w:right w:val="nil"/>
            </w:tcBorders>
            <w:vAlign w:val="bottom"/>
          </w:tcPr>
          <w:p w14:paraId="204375D7" w14:textId="77777777" w:rsidR="00BC1410" w:rsidRPr="00976474" w:rsidRDefault="00BC1410" w:rsidP="0009789E">
            <w:pPr>
              <w:pStyle w:val="DataField11pt"/>
              <w:jc w:val="both"/>
              <w:rPr>
                <w:szCs w:val="22"/>
              </w:rPr>
            </w:pPr>
          </w:p>
        </w:tc>
      </w:tr>
      <w:tr w:rsidR="00BC1410" w:rsidRPr="00976474" w14:paraId="48170449" w14:textId="77777777" w:rsidTr="00E616BB">
        <w:trPr>
          <w:trHeight w:hRule="exact" w:val="346"/>
          <w:jc w:val="center"/>
        </w:trPr>
        <w:tc>
          <w:tcPr>
            <w:tcW w:w="10656" w:type="dxa"/>
            <w:tcBorders>
              <w:top w:val="single" w:sz="6" w:space="0" w:color="auto"/>
              <w:left w:val="nil"/>
              <w:bottom w:val="single" w:sz="6" w:space="0" w:color="auto"/>
              <w:right w:val="nil"/>
            </w:tcBorders>
            <w:vAlign w:val="center"/>
          </w:tcPr>
          <w:p w14:paraId="1776EAB6" w14:textId="77777777" w:rsidR="00BC1410" w:rsidRPr="00976474" w:rsidRDefault="00BC1410" w:rsidP="007E3419">
            <w:pPr>
              <w:pStyle w:val="Heading1"/>
            </w:pPr>
            <w:r w:rsidRPr="00976474">
              <w:t>FACILITIES &amp; OTHER RESOURCES</w:t>
            </w:r>
          </w:p>
        </w:tc>
      </w:tr>
    </w:tbl>
    <w:p w14:paraId="360C38E4" w14:textId="77777777" w:rsidR="00BC1410" w:rsidRPr="00976474" w:rsidRDefault="002759B2" w:rsidP="0009789E">
      <w:pPr>
        <w:jc w:val="both"/>
        <w:rPr>
          <w:rFonts w:ascii="Arial" w:hAnsi="Arial" w:cs="Arial"/>
          <w:b/>
          <w:sz w:val="22"/>
          <w:szCs w:val="22"/>
        </w:rPr>
      </w:pPr>
      <w:r w:rsidRPr="00976474">
        <w:rPr>
          <w:rFonts w:ascii="Arial" w:hAnsi="Arial" w:cs="Arial"/>
          <w:b/>
          <w:sz w:val="22"/>
          <w:szCs w:val="22"/>
        </w:rPr>
        <w:t xml:space="preserve">The University of Tennessee Health Science Center (UTHSC) </w:t>
      </w:r>
      <w:r w:rsidR="00217AC9" w:rsidRPr="00976474">
        <w:rPr>
          <w:rFonts w:ascii="Arial" w:hAnsi="Arial" w:cs="Arial"/>
          <w:b/>
          <w:sz w:val="22"/>
          <w:szCs w:val="22"/>
        </w:rPr>
        <w:t>Institutional Core Facilities:</w:t>
      </w:r>
    </w:p>
    <w:p w14:paraId="0DEF4A8A" w14:textId="471A7FEF" w:rsidR="00217AC9" w:rsidRPr="00976474" w:rsidRDefault="005F1E8B" w:rsidP="0009789E">
      <w:pPr>
        <w:jc w:val="both"/>
        <w:rPr>
          <w:rFonts w:ascii="Arial" w:hAnsi="Arial" w:cs="Arial"/>
          <w:sz w:val="22"/>
          <w:szCs w:val="22"/>
        </w:rPr>
      </w:pPr>
      <w:r w:rsidRPr="00976474">
        <w:rPr>
          <w:rFonts w:ascii="Arial" w:hAnsi="Arial" w:cs="Arial"/>
          <w:sz w:val="22"/>
          <w:szCs w:val="22"/>
        </w:rPr>
        <w:t xml:space="preserve">There are </w:t>
      </w:r>
      <w:r w:rsidR="00F77580">
        <w:rPr>
          <w:rFonts w:ascii="Arial" w:hAnsi="Arial" w:cs="Arial"/>
          <w:sz w:val="22"/>
          <w:szCs w:val="22"/>
        </w:rPr>
        <w:t>nine</w:t>
      </w:r>
      <w:r w:rsidRPr="00976474">
        <w:rPr>
          <w:rFonts w:ascii="Arial" w:hAnsi="Arial" w:cs="Arial"/>
          <w:sz w:val="22"/>
          <w:szCs w:val="22"/>
        </w:rPr>
        <w:t xml:space="preserve"> institutionally </w:t>
      </w:r>
      <w:r w:rsidR="00217AC9" w:rsidRPr="00976474">
        <w:rPr>
          <w:rFonts w:ascii="Arial" w:hAnsi="Arial" w:cs="Arial"/>
          <w:sz w:val="22"/>
          <w:szCs w:val="22"/>
        </w:rPr>
        <w:t>supported and subsidized core facilities located on the UTHSC campus</w:t>
      </w:r>
      <w:r w:rsidR="00C35ADB">
        <w:rPr>
          <w:rFonts w:ascii="Arial" w:hAnsi="Arial" w:cs="Arial"/>
          <w:sz w:val="22"/>
          <w:szCs w:val="22"/>
        </w:rPr>
        <w:t xml:space="preserve">: </w:t>
      </w:r>
      <w:r w:rsidR="00217AC9" w:rsidRPr="00976474">
        <w:rPr>
          <w:rFonts w:ascii="Arial" w:hAnsi="Arial" w:cs="Arial"/>
          <w:sz w:val="22"/>
          <w:szCs w:val="22"/>
        </w:rPr>
        <w:t>the Lab</w:t>
      </w:r>
      <w:r w:rsidR="00ED0BA8">
        <w:rPr>
          <w:rFonts w:ascii="Arial" w:hAnsi="Arial" w:cs="Arial"/>
          <w:sz w:val="22"/>
          <w:szCs w:val="22"/>
        </w:rPr>
        <w:t>oratory</w:t>
      </w:r>
      <w:r w:rsidR="00217AC9" w:rsidRPr="00976474">
        <w:rPr>
          <w:rFonts w:ascii="Arial" w:hAnsi="Arial" w:cs="Arial"/>
          <w:sz w:val="22"/>
          <w:szCs w:val="22"/>
        </w:rPr>
        <w:t xml:space="preserve"> Animal Care Unit (LACU), the Regional Biocontainment Laboratory (RBL), the Molecular Resource Center (MRC), the Molecular Bioinformatics (mBIO) core, the Flow Cytometry and </w:t>
      </w:r>
      <w:r w:rsidR="00212701">
        <w:rPr>
          <w:rFonts w:ascii="Arial" w:hAnsi="Arial" w:cs="Arial"/>
          <w:sz w:val="22"/>
          <w:szCs w:val="22"/>
        </w:rPr>
        <w:t>Cell</w:t>
      </w:r>
      <w:r w:rsidR="00217AC9" w:rsidRPr="00976474">
        <w:rPr>
          <w:rFonts w:ascii="Arial" w:hAnsi="Arial" w:cs="Arial"/>
          <w:sz w:val="22"/>
          <w:szCs w:val="22"/>
        </w:rPr>
        <w:t xml:space="preserve"> Sorting (FCCS) core, the Prote</w:t>
      </w:r>
      <w:r w:rsidR="007E6528">
        <w:rPr>
          <w:rFonts w:ascii="Arial" w:hAnsi="Arial" w:cs="Arial"/>
          <w:sz w:val="22"/>
          <w:szCs w:val="22"/>
        </w:rPr>
        <w:t xml:space="preserve">omics </w:t>
      </w:r>
      <w:r w:rsidR="00C35ADB">
        <w:rPr>
          <w:rFonts w:ascii="Arial" w:hAnsi="Arial" w:cs="Arial"/>
          <w:sz w:val="22"/>
          <w:szCs w:val="22"/>
        </w:rPr>
        <w:t>and</w:t>
      </w:r>
      <w:r w:rsidR="007E6528">
        <w:rPr>
          <w:rFonts w:ascii="Arial" w:hAnsi="Arial" w:cs="Arial"/>
          <w:sz w:val="22"/>
          <w:szCs w:val="22"/>
        </w:rPr>
        <w:t xml:space="preserve"> Metabolomics Core (PMC), </w:t>
      </w:r>
      <w:r w:rsidR="00217AC9" w:rsidRPr="00976474">
        <w:rPr>
          <w:rFonts w:ascii="Arial" w:hAnsi="Arial" w:cs="Arial"/>
          <w:sz w:val="22"/>
          <w:szCs w:val="22"/>
        </w:rPr>
        <w:t>the Research Histology Core (RHC)</w:t>
      </w:r>
      <w:r w:rsidR="00F77580">
        <w:rPr>
          <w:rFonts w:ascii="Arial" w:hAnsi="Arial" w:cs="Arial"/>
          <w:sz w:val="22"/>
          <w:szCs w:val="22"/>
        </w:rPr>
        <w:t xml:space="preserve">, </w:t>
      </w:r>
      <w:r w:rsidR="007E6528">
        <w:rPr>
          <w:rFonts w:ascii="Arial" w:hAnsi="Arial" w:cs="Arial"/>
          <w:sz w:val="22"/>
          <w:szCs w:val="22"/>
        </w:rPr>
        <w:t>the Medicinal Chemistry (MedChem)</w:t>
      </w:r>
      <w:r w:rsidR="00C35ADB">
        <w:rPr>
          <w:rFonts w:ascii="Arial" w:hAnsi="Arial" w:cs="Arial"/>
          <w:sz w:val="22"/>
          <w:szCs w:val="22"/>
        </w:rPr>
        <w:t>,</w:t>
      </w:r>
      <w:r w:rsidR="007E6528">
        <w:rPr>
          <w:rFonts w:ascii="Arial" w:hAnsi="Arial" w:cs="Arial"/>
          <w:sz w:val="22"/>
          <w:szCs w:val="22"/>
        </w:rPr>
        <w:t xml:space="preserve"> </w:t>
      </w:r>
      <w:r w:rsidR="00F77580">
        <w:rPr>
          <w:rFonts w:ascii="Arial" w:hAnsi="Arial" w:cs="Arial"/>
          <w:sz w:val="22"/>
          <w:szCs w:val="22"/>
        </w:rPr>
        <w:t>and the Advanced</w:t>
      </w:r>
      <w:r w:rsidR="00362519">
        <w:rPr>
          <w:rFonts w:ascii="Arial" w:hAnsi="Arial" w:cs="Arial"/>
          <w:sz w:val="22"/>
          <w:szCs w:val="22"/>
        </w:rPr>
        <w:t xml:space="preserve"> </w:t>
      </w:r>
      <w:r w:rsidR="00F77580">
        <w:rPr>
          <w:rFonts w:ascii="Arial" w:hAnsi="Arial" w:cs="Arial"/>
          <w:sz w:val="22"/>
          <w:szCs w:val="22"/>
        </w:rPr>
        <w:t xml:space="preserve">Imaging </w:t>
      </w:r>
      <w:r w:rsidR="00362519">
        <w:rPr>
          <w:rFonts w:ascii="Arial" w:hAnsi="Arial" w:cs="Arial"/>
          <w:sz w:val="22"/>
          <w:szCs w:val="22"/>
        </w:rPr>
        <w:t xml:space="preserve">Core </w:t>
      </w:r>
      <w:r w:rsidR="00F77580">
        <w:rPr>
          <w:rFonts w:ascii="Arial" w:hAnsi="Arial" w:cs="Arial"/>
          <w:sz w:val="22"/>
          <w:szCs w:val="22"/>
        </w:rPr>
        <w:t>(A</w:t>
      </w:r>
      <w:r w:rsidR="00362519">
        <w:rPr>
          <w:rFonts w:ascii="Arial" w:hAnsi="Arial" w:cs="Arial"/>
          <w:sz w:val="22"/>
          <w:szCs w:val="22"/>
        </w:rPr>
        <w:t>IC</w:t>
      </w:r>
      <w:r w:rsidR="00F77580">
        <w:rPr>
          <w:rFonts w:ascii="Arial" w:hAnsi="Arial" w:cs="Arial"/>
          <w:sz w:val="22"/>
          <w:szCs w:val="22"/>
        </w:rPr>
        <w:t>)</w:t>
      </w:r>
      <w:r w:rsidR="00217AC9" w:rsidRPr="00976474">
        <w:rPr>
          <w:rFonts w:ascii="Arial" w:hAnsi="Arial" w:cs="Arial"/>
          <w:sz w:val="22"/>
          <w:szCs w:val="22"/>
        </w:rPr>
        <w:t xml:space="preserve">. An overview of </w:t>
      </w:r>
      <w:r w:rsidR="00F77580">
        <w:rPr>
          <w:rFonts w:ascii="Arial" w:hAnsi="Arial" w:cs="Arial"/>
          <w:sz w:val="22"/>
          <w:szCs w:val="22"/>
        </w:rPr>
        <w:t>core facilities</w:t>
      </w:r>
      <w:r w:rsidR="00217AC9" w:rsidRPr="00976474">
        <w:rPr>
          <w:rFonts w:ascii="Arial" w:hAnsi="Arial" w:cs="Arial"/>
          <w:sz w:val="22"/>
          <w:szCs w:val="22"/>
        </w:rPr>
        <w:t xml:space="preserve"> may be found at </w:t>
      </w:r>
      <w:r w:rsidR="00F74AF5">
        <w:rPr>
          <w:rFonts w:ascii="Arial" w:hAnsi="Arial" w:cs="Arial"/>
          <w:sz w:val="22"/>
          <w:szCs w:val="22"/>
        </w:rPr>
        <w:t>the UTHSC Office of Research institutional cores webpage</w:t>
      </w:r>
      <w:r w:rsidR="00217AC9" w:rsidRPr="00976474">
        <w:rPr>
          <w:rFonts w:ascii="Arial" w:hAnsi="Arial" w:cs="Arial"/>
          <w:sz w:val="22"/>
          <w:szCs w:val="22"/>
        </w:rPr>
        <w:t xml:space="preserve">. </w:t>
      </w:r>
      <w:r w:rsidR="007D4F81" w:rsidRPr="00976474">
        <w:rPr>
          <w:rFonts w:ascii="Arial" w:hAnsi="Arial" w:cs="Arial"/>
          <w:sz w:val="22"/>
          <w:szCs w:val="22"/>
        </w:rPr>
        <w:t>Institutional</w:t>
      </w:r>
      <w:r w:rsidR="00217AC9" w:rsidRPr="00976474">
        <w:rPr>
          <w:rFonts w:ascii="Arial" w:hAnsi="Arial" w:cs="Arial"/>
          <w:sz w:val="22"/>
          <w:szCs w:val="22"/>
        </w:rPr>
        <w:t xml:space="preserve"> core facilities </w:t>
      </w:r>
      <w:r w:rsidR="00F122FA">
        <w:rPr>
          <w:rFonts w:ascii="Arial" w:hAnsi="Arial" w:cs="Arial"/>
          <w:sz w:val="22"/>
          <w:szCs w:val="22"/>
        </w:rPr>
        <w:t xml:space="preserve">at UTHSC are defined as </w:t>
      </w:r>
      <w:r w:rsidR="007D4F81" w:rsidRPr="00976474">
        <w:rPr>
          <w:rFonts w:ascii="Arial" w:hAnsi="Arial" w:cs="Arial"/>
          <w:sz w:val="22"/>
          <w:szCs w:val="22"/>
        </w:rPr>
        <w:t xml:space="preserve">widely used facilities </w:t>
      </w:r>
      <w:r w:rsidR="00217AC9" w:rsidRPr="00976474">
        <w:rPr>
          <w:rFonts w:ascii="Arial" w:hAnsi="Arial" w:cs="Arial"/>
          <w:sz w:val="22"/>
          <w:szCs w:val="22"/>
        </w:rPr>
        <w:t>managed by the Office of Research</w:t>
      </w:r>
      <w:r w:rsidR="007D4F81" w:rsidRPr="00976474">
        <w:rPr>
          <w:rFonts w:ascii="Arial" w:hAnsi="Arial" w:cs="Arial"/>
          <w:sz w:val="22"/>
          <w:szCs w:val="22"/>
        </w:rPr>
        <w:t xml:space="preserve">. </w:t>
      </w:r>
      <w:r w:rsidR="00F77580">
        <w:rPr>
          <w:rFonts w:ascii="Arial" w:hAnsi="Arial" w:cs="Arial"/>
          <w:sz w:val="22"/>
          <w:szCs w:val="22"/>
        </w:rPr>
        <w:t>C</w:t>
      </w:r>
      <w:r w:rsidR="00217AC9" w:rsidRPr="00976474">
        <w:rPr>
          <w:rFonts w:ascii="Arial" w:hAnsi="Arial" w:cs="Arial"/>
          <w:sz w:val="22"/>
          <w:szCs w:val="22"/>
        </w:rPr>
        <w:t xml:space="preserve">ore </w:t>
      </w:r>
      <w:r w:rsidR="004777EF">
        <w:rPr>
          <w:rFonts w:ascii="Arial" w:hAnsi="Arial" w:cs="Arial"/>
          <w:sz w:val="22"/>
          <w:szCs w:val="22"/>
        </w:rPr>
        <w:t>service</w:t>
      </w:r>
      <w:r w:rsidR="00217AC9" w:rsidRPr="00976474">
        <w:rPr>
          <w:rFonts w:ascii="Arial" w:hAnsi="Arial" w:cs="Arial"/>
          <w:sz w:val="22"/>
          <w:szCs w:val="22"/>
        </w:rPr>
        <w:t xml:space="preserve"> fees are </w:t>
      </w:r>
      <w:r w:rsidR="004B5221" w:rsidRPr="00976474">
        <w:rPr>
          <w:rFonts w:ascii="Arial" w:hAnsi="Arial" w:cs="Arial"/>
          <w:sz w:val="22"/>
          <w:szCs w:val="22"/>
        </w:rPr>
        <w:t xml:space="preserve">very competitive and currently </w:t>
      </w:r>
      <w:r w:rsidR="007D4F81" w:rsidRPr="00976474">
        <w:rPr>
          <w:rFonts w:ascii="Arial" w:hAnsi="Arial" w:cs="Arial"/>
          <w:sz w:val="22"/>
          <w:szCs w:val="22"/>
        </w:rPr>
        <w:t xml:space="preserve">rank in the </w:t>
      </w:r>
      <w:r w:rsidR="00217AC9" w:rsidRPr="00976474">
        <w:rPr>
          <w:rFonts w:ascii="Arial" w:hAnsi="Arial" w:cs="Arial"/>
          <w:sz w:val="22"/>
          <w:szCs w:val="22"/>
        </w:rPr>
        <w:t xml:space="preserve">bottom-third to bottom-half of </w:t>
      </w:r>
      <w:r w:rsidR="007D4F81" w:rsidRPr="00976474">
        <w:rPr>
          <w:rFonts w:ascii="Arial" w:hAnsi="Arial" w:cs="Arial"/>
          <w:sz w:val="22"/>
          <w:szCs w:val="22"/>
        </w:rPr>
        <w:t xml:space="preserve">pricing </w:t>
      </w:r>
      <w:r w:rsidR="00EA5BA9" w:rsidRPr="00976474">
        <w:rPr>
          <w:rFonts w:ascii="Arial" w:hAnsi="Arial" w:cs="Arial"/>
          <w:sz w:val="22"/>
          <w:szCs w:val="22"/>
        </w:rPr>
        <w:t>for</w:t>
      </w:r>
      <w:r w:rsidR="004B5221" w:rsidRPr="00976474">
        <w:rPr>
          <w:rFonts w:ascii="Arial" w:hAnsi="Arial" w:cs="Arial"/>
          <w:sz w:val="22"/>
          <w:szCs w:val="22"/>
        </w:rPr>
        <w:t xml:space="preserve"> </w:t>
      </w:r>
      <w:r w:rsidR="00836D9D">
        <w:rPr>
          <w:rFonts w:ascii="Arial" w:hAnsi="Arial" w:cs="Arial"/>
          <w:sz w:val="22"/>
          <w:szCs w:val="22"/>
        </w:rPr>
        <w:t xml:space="preserve">similar </w:t>
      </w:r>
      <w:r w:rsidR="004B5221" w:rsidRPr="00976474">
        <w:rPr>
          <w:rFonts w:ascii="Arial" w:hAnsi="Arial" w:cs="Arial"/>
          <w:sz w:val="22"/>
          <w:szCs w:val="22"/>
        </w:rPr>
        <w:t xml:space="preserve">services </w:t>
      </w:r>
      <w:r w:rsidR="007D4F81" w:rsidRPr="00976474">
        <w:rPr>
          <w:rFonts w:ascii="Arial" w:hAnsi="Arial" w:cs="Arial"/>
          <w:sz w:val="22"/>
          <w:szCs w:val="22"/>
        </w:rPr>
        <w:t>of</w:t>
      </w:r>
      <w:r w:rsidR="004B5221" w:rsidRPr="00976474">
        <w:rPr>
          <w:rFonts w:ascii="Arial" w:hAnsi="Arial" w:cs="Arial"/>
          <w:sz w:val="22"/>
          <w:szCs w:val="22"/>
        </w:rPr>
        <w:t>fered by</w:t>
      </w:r>
      <w:r w:rsidR="007D4F81" w:rsidRPr="00976474">
        <w:rPr>
          <w:rFonts w:ascii="Arial" w:hAnsi="Arial" w:cs="Arial"/>
          <w:sz w:val="22"/>
          <w:szCs w:val="22"/>
        </w:rPr>
        <w:t xml:space="preserve"> </w:t>
      </w:r>
      <w:r w:rsidR="00217AC9" w:rsidRPr="00976474">
        <w:rPr>
          <w:rFonts w:ascii="Arial" w:hAnsi="Arial" w:cs="Arial"/>
          <w:sz w:val="22"/>
          <w:szCs w:val="22"/>
        </w:rPr>
        <w:t>peer academic institutions</w:t>
      </w:r>
      <w:r w:rsidR="00552270" w:rsidRPr="00976474">
        <w:rPr>
          <w:rFonts w:ascii="Arial" w:hAnsi="Arial" w:cs="Arial"/>
          <w:sz w:val="22"/>
          <w:szCs w:val="22"/>
        </w:rPr>
        <w:t xml:space="preserve"> </w:t>
      </w:r>
      <w:r w:rsidR="00217AC9" w:rsidRPr="00976474">
        <w:rPr>
          <w:rFonts w:ascii="Arial" w:hAnsi="Arial" w:cs="Arial"/>
          <w:sz w:val="22"/>
          <w:szCs w:val="22"/>
        </w:rPr>
        <w:t>in the Southeast U</w:t>
      </w:r>
      <w:r w:rsidR="00FF528E">
        <w:rPr>
          <w:rFonts w:ascii="Arial" w:hAnsi="Arial" w:cs="Arial"/>
          <w:sz w:val="22"/>
          <w:szCs w:val="22"/>
        </w:rPr>
        <w:t>.</w:t>
      </w:r>
      <w:r w:rsidR="00217AC9" w:rsidRPr="00976474">
        <w:rPr>
          <w:rFonts w:ascii="Arial" w:hAnsi="Arial" w:cs="Arial"/>
          <w:sz w:val="22"/>
          <w:szCs w:val="22"/>
        </w:rPr>
        <w:t>S.</w:t>
      </w:r>
      <w:r w:rsidR="0034531B" w:rsidRPr="00976474">
        <w:rPr>
          <w:rFonts w:ascii="Arial" w:hAnsi="Arial" w:cs="Arial"/>
          <w:sz w:val="22"/>
          <w:szCs w:val="22"/>
        </w:rPr>
        <w:t xml:space="preserve"> </w:t>
      </w:r>
      <w:r w:rsidR="004B5221" w:rsidRPr="00976474">
        <w:rPr>
          <w:rFonts w:ascii="Arial" w:hAnsi="Arial" w:cs="Arial"/>
          <w:sz w:val="22"/>
          <w:szCs w:val="22"/>
        </w:rPr>
        <w:t>Institutional</w:t>
      </w:r>
      <w:r w:rsidR="0034531B" w:rsidRPr="00976474">
        <w:rPr>
          <w:rFonts w:ascii="Arial" w:hAnsi="Arial" w:cs="Arial"/>
          <w:sz w:val="22"/>
          <w:szCs w:val="22"/>
        </w:rPr>
        <w:t xml:space="preserve"> core facilities serve investigators based at UTHSC, LeBonheur Children’s Hospital,</w:t>
      </w:r>
      <w:r w:rsidR="00FF528E">
        <w:rPr>
          <w:rFonts w:ascii="Arial" w:hAnsi="Arial" w:cs="Arial"/>
          <w:sz w:val="22"/>
          <w:szCs w:val="22"/>
        </w:rPr>
        <w:t xml:space="preserve"> </w:t>
      </w:r>
      <w:r w:rsidR="0034531B" w:rsidRPr="00976474">
        <w:rPr>
          <w:rFonts w:ascii="Arial" w:hAnsi="Arial" w:cs="Arial"/>
          <w:sz w:val="22"/>
          <w:szCs w:val="22"/>
        </w:rPr>
        <w:t>Regional One Medical Center</w:t>
      </w:r>
      <w:r w:rsidR="00FF528E">
        <w:rPr>
          <w:rFonts w:ascii="Arial" w:hAnsi="Arial" w:cs="Arial"/>
          <w:sz w:val="22"/>
          <w:szCs w:val="22"/>
        </w:rPr>
        <w:t>,</w:t>
      </w:r>
      <w:r w:rsidR="0034531B" w:rsidRPr="00976474">
        <w:rPr>
          <w:rFonts w:ascii="Arial" w:hAnsi="Arial" w:cs="Arial"/>
          <w:sz w:val="22"/>
          <w:szCs w:val="22"/>
        </w:rPr>
        <w:t xml:space="preserve"> and the University of Memphis (the greater Memphis area), as well as several external customers from around the </w:t>
      </w:r>
      <w:r w:rsidR="004B5221" w:rsidRPr="00976474">
        <w:rPr>
          <w:rFonts w:ascii="Arial" w:hAnsi="Arial" w:cs="Arial"/>
          <w:sz w:val="22"/>
          <w:szCs w:val="22"/>
        </w:rPr>
        <w:t>U</w:t>
      </w:r>
      <w:r w:rsidR="00FF528E">
        <w:rPr>
          <w:rFonts w:ascii="Arial" w:hAnsi="Arial" w:cs="Arial"/>
          <w:sz w:val="22"/>
          <w:szCs w:val="22"/>
        </w:rPr>
        <w:t>.</w:t>
      </w:r>
      <w:r w:rsidR="004B5221" w:rsidRPr="00976474">
        <w:rPr>
          <w:rFonts w:ascii="Arial" w:hAnsi="Arial" w:cs="Arial"/>
          <w:sz w:val="22"/>
          <w:szCs w:val="22"/>
        </w:rPr>
        <w:t>S</w:t>
      </w:r>
      <w:r w:rsidR="00FF528E">
        <w:rPr>
          <w:rFonts w:ascii="Arial" w:hAnsi="Arial" w:cs="Arial"/>
          <w:sz w:val="22"/>
          <w:szCs w:val="22"/>
        </w:rPr>
        <w:t>.</w:t>
      </w:r>
      <w:r w:rsidR="004B5221" w:rsidRPr="00976474">
        <w:rPr>
          <w:rFonts w:ascii="Arial" w:hAnsi="Arial" w:cs="Arial"/>
          <w:sz w:val="22"/>
          <w:szCs w:val="22"/>
        </w:rPr>
        <w:t xml:space="preserve"> and the </w:t>
      </w:r>
      <w:r w:rsidR="0034531B" w:rsidRPr="00976474">
        <w:rPr>
          <w:rFonts w:ascii="Arial" w:hAnsi="Arial" w:cs="Arial"/>
          <w:sz w:val="22"/>
          <w:szCs w:val="22"/>
        </w:rPr>
        <w:t>world.</w:t>
      </w:r>
    </w:p>
    <w:p w14:paraId="300B3D17" w14:textId="77777777" w:rsidR="00217AC9" w:rsidRPr="00976474" w:rsidRDefault="00217AC9" w:rsidP="0009789E">
      <w:pPr>
        <w:jc w:val="both"/>
        <w:rPr>
          <w:rFonts w:ascii="Arial" w:hAnsi="Arial" w:cs="Arial"/>
          <w:sz w:val="22"/>
          <w:szCs w:val="22"/>
        </w:rPr>
      </w:pPr>
    </w:p>
    <w:p w14:paraId="3A337499" w14:textId="4C734438" w:rsidR="00217AC9" w:rsidRPr="00976474" w:rsidRDefault="00952682" w:rsidP="0009789E">
      <w:pPr>
        <w:jc w:val="both"/>
        <w:rPr>
          <w:rFonts w:ascii="Arial" w:hAnsi="Arial" w:cs="Arial"/>
          <w:b/>
          <w:sz w:val="22"/>
          <w:szCs w:val="22"/>
        </w:rPr>
      </w:pPr>
      <w:r w:rsidRPr="00976474">
        <w:rPr>
          <w:rFonts w:ascii="Arial" w:hAnsi="Arial" w:cs="Arial"/>
          <w:b/>
          <w:sz w:val="22"/>
          <w:szCs w:val="22"/>
        </w:rPr>
        <w:t>Lab</w:t>
      </w:r>
      <w:r w:rsidR="00ED0BA8">
        <w:rPr>
          <w:rFonts w:ascii="Arial" w:hAnsi="Arial" w:cs="Arial"/>
          <w:b/>
          <w:sz w:val="22"/>
          <w:szCs w:val="22"/>
        </w:rPr>
        <w:t>oratory</w:t>
      </w:r>
      <w:r w:rsidRPr="00976474">
        <w:rPr>
          <w:rFonts w:ascii="Arial" w:hAnsi="Arial" w:cs="Arial"/>
          <w:b/>
          <w:sz w:val="22"/>
          <w:szCs w:val="22"/>
        </w:rPr>
        <w:t xml:space="preserve"> Animal Care Unit (LACU); David Hamilton, DVM, Director:</w:t>
      </w:r>
    </w:p>
    <w:p w14:paraId="630CD1DE" w14:textId="5596B4A7" w:rsidR="00203C12" w:rsidRPr="00976474" w:rsidRDefault="00203C12" w:rsidP="00203C12">
      <w:pPr>
        <w:jc w:val="both"/>
        <w:rPr>
          <w:rFonts w:ascii="Arial" w:hAnsi="Arial" w:cs="Arial"/>
          <w:sz w:val="22"/>
          <w:szCs w:val="22"/>
        </w:rPr>
      </w:pPr>
      <w:r w:rsidRPr="00976474">
        <w:rPr>
          <w:rFonts w:ascii="Arial" w:hAnsi="Arial" w:cs="Arial"/>
          <w:sz w:val="22"/>
          <w:szCs w:val="22"/>
        </w:rPr>
        <w:t xml:space="preserve">The LACU administers the facilities and </w:t>
      </w:r>
      <w:r w:rsidR="00305DBB">
        <w:rPr>
          <w:rFonts w:ascii="Arial" w:hAnsi="Arial" w:cs="Arial"/>
          <w:sz w:val="22"/>
          <w:szCs w:val="22"/>
        </w:rPr>
        <w:t xml:space="preserve">the </w:t>
      </w:r>
      <w:r w:rsidRPr="00976474">
        <w:rPr>
          <w:rFonts w:ascii="Arial" w:hAnsi="Arial" w:cs="Arial"/>
          <w:sz w:val="22"/>
          <w:szCs w:val="22"/>
        </w:rPr>
        <w:t xml:space="preserve">program of animal care resources for the campus. The LACU is responsible for all animal care resources and the purchase and care of all animals on the </w:t>
      </w:r>
      <w:r w:rsidR="00305DBB">
        <w:rPr>
          <w:rFonts w:ascii="Arial" w:hAnsi="Arial" w:cs="Arial"/>
          <w:sz w:val="22"/>
          <w:szCs w:val="22"/>
        </w:rPr>
        <w:t>UTHSC</w:t>
      </w:r>
      <w:r w:rsidRPr="00976474">
        <w:rPr>
          <w:rFonts w:ascii="Arial" w:hAnsi="Arial" w:cs="Arial"/>
          <w:sz w:val="22"/>
          <w:szCs w:val="22"/>
        </w:rPr>
        <w:t xml:space="preserve"> campus. </w:t>
      </w:r>
      <w:r w:rsidR="0092621A">
        <w:rPr>
          <w:rFonts w:ascii="Arial" w:hAnsi="Arial" w:cs="Arial"/>
          <w:sz w:val="22"/>
          <w:szCs w:val="22"/>
        </w:rPr>
        <w:t>It</w:t>
      </w:r>
      <w:r w:rsidRPr="00976474">
        <w:rPr>
          <w:rFonts w:ascii="Arial" w:hAnsi="Arial" w:cs="Arial"/>
          <w:sz w:val="22"/>
          <w:szCs w:val="22"/>
        </w:rPr>
        <w:t xml:space="preserve"> also provides consultation for experimental design</w:t>
      </w:r>
      <w:r w:rsidR="00305626">
        <w:rPr>
          <w:rFonts w:ascii="Arial" w:hAnsi="Arial" w:cs="Arial"/>
          <w:sz w:val="22"/>
          <w:szCs w:val="22"/>
        </w:rPr>
        <w:t>,</w:t>
      </w:r>
      <w:r w:rsidRPr="00976474">
        <w:rPr>
          <w:rFonts w:ascii="Arial" w:hAnsi="Arial" w:cs="Arial"/>
          <w:sz w:val="22"/>
          <w:szCs w:val="22"/>
        </w:rPr>
        <w:t xml:space="preserve"> and train</w:t>
      </w:r>
      <w:r w:rsidR="00305626">
        <w:rPr>
          <w:rFonts w:ascii="Arial" w:hAnsi="Arial" w:cs="Arial"/>
          <w:sz w:val="22"/>
          <w:szCs w:val="22"/>
        </w:rPr>
        <w:t>s</w:t>
      </w:r>
      <w:r w:rsidRPr="00976474">
        <w:rPr>
          <w:rFonts w:ascii="Arial" w:hAnsi="Arial" w:cs="Arial"/>
          <w:sz w:val="22"/>
          <w:szCs w:val="22"/>
        </w:rPr>
        <w:t xml:space="preserve"> investigators and other personnel in the humane and responsible use of animals. The facilities are comprised of &gt;</w:t>
      </w:r>
      <w:r w:rsidR="0078110C">
        <w:rPr>
          <w:rFonts w:ascii="Arial" w:hAnsi="Arial" w:cs="Arial"/>
          <w:sz w:val="22"/>
          <w:szCs w:val="22"/>
        </w:rPr>
        <w:t>64</w:t>
      </w:r>
      <w:r w:rsidRPr="00976474">
        <w:rPr>
          <w:rFonts w:ascii="Arial" w:hAnsi="Arial" w:cs="Arial"/>
          <w:sz w:val="22"/>
          <w:szCs w:val="22"/>
        </w:rPr>
        <w:t xml:space="preserve">,000 net </w:t>
      </w:r>
      <w:r w:rsidR="00305626">
        <w:rPr>
          <w:rFonts w:ascii="Arial" w:hAnsi="Arial" w:cs="Arial"/>
          <w:sz w:val="22"/>
          <w:szCs w:val="22"/>
        </w:rPr>
        <w:t>SF</w:t>
      </w:r>
      <w:r w:rsidRPr="00976474">
        <w:rPr>
          <w:rFonts w:ascii="Arial" w:hAnsi="Arial" w:cs="Arial"/>
          <w:sz w:val="22"/>
          <w:szCs w:val="22"/>
        </w:rPr>
        <w:t xml:space="preserve"> of animal space located in </w:t>
      </w:r>
      <w:r w:rsidR="00492A50">
        <w:rPr>
          <w:rFonts w:ascii="Arial" w:hAnsi="Arial" w:cs="Arial"/>
          <w:sz w:val="22"/>
          <w:szCs w:val="22"/>
        </w:rPr>
        <w:t>six</w:t>
      </w:r>
      <w:r w:rsidRPr="00976474">
        <w:rPr>
          <w:rFonts w:ascii="Arial" w:hAnsi="Arial" w:cs="Arial"/>
          <w:sz w:val="22"/>
          <w:szCs w:val="22"/>
        </w:rPr>
        <w:t xml:space="preserve"> buildings, and office spaces in the Coleman Building. The entire centralized animal care program </w:t>
      </w:r>
      <w:r w:rsidR="00492A50">
        <w:rPr>
          <w:rFonts w:ascii="Arial" w:hAnsi="Arial" w:cs="Arial"/>
          <w:sz w:val="22"/>
          <w:szCs w:val="22"/>
        </w:rPr>
        <w:t xml:space="preserve">has been </w:t>
      </w:r>
      <w:r w:rsidRPr="00976474">
        <w:rPr>
          <w:rFonts w:ascii="Arial" w:hAnsi="Arial" w:cs="Arial"/>
          <w:sz w:val="22"/>
          <w:szCs w:val="22"/>
        </w:rPr>
        <w:t xml:space="preserve">fully accredited by the </w:t>
      </w:r>
      <w:r w:rsidR="005B5ADE">
        <w:rPr>
          <w:rFonts w:ascii="Arial" w:hAnsi="Arial" w:cs="Arial"/>
          <w:sz w:val="22"/>
          <w:szCs w:val="22"/>
        </w:rPr>
        <w:t xml:space="preserve">Association for </w:t>
      </w:r>
      <w:r w:rsidRPr="00976474">
        <w:rPr>
          <w:rFonts w:ascii="Arial" w:hAnsi="Arial" w:cs="Arial"/>
          <w:sz w:val="22"/>
          <w:szCs w:val="22"/>
        </w:rPr>
        <w:t xml:space="preserve">Assessment and Accreditation of Laboratory Animal Care (AAALAC) since </w:t>
      </w:r>
      <w:r w:rsidR="00DE1F0C" w:rsidRPr="00976474">
        <w:rPr>
          <w:rFonts w:ascii="Arial" w:hAnsi="Arial" w:cs="Arial"/>
          <w:sz w:val="22"/>
          <w:szCs w:val="22"/>
        </w:rPr>
        <w:t>1993 and</w:t>
      </w:r>
      <w:r w:rsidRPr="00976474">
        <w:rPr>
          <w:rFonts w:ascii="Arial" w:hAnsi="Arial" w:cs="Arial"/>
          <w:sz w:val="22"/>
          <w:szCs w:val="22"/>
        </w:rPr>
        <w:t xml:space="preserve"> maintains an active Animal Welfare Assurance with the NIH Office of Laboratory Animal Welfare (OLAW). </w:t>
      </w:r>
      <w:r w:rsidR="00537CBF" w:rsidRPr="00976474">
        <w:rPr>
          <w:rFonts w:ascii="Arial" w:hAnsi="Arial" w:cs="Arial"/>
          <w:sz w:val="22"/>
          <w:szCs w:val="22"/>
        </w:rPr>
        <w:t xml:space="preserve">The LACU maintains a </w:t>
      </w:r>
      <w:r w:rsidR="004521A3">
        <w:rPr>
          <w:rFonts w:ascii="Arial" w:hAnsi="Arial" w:cs="Arial"/>
          <w:sz w:val="22"/>
          <w:szCs w:val="22"/>
        </w:rPr>
        <w:t xml:space="preserve">42-person </w:t>
      </w:r>
      <w:r w:rsidR="00537CBF" w:rsidRPr="00976474">
        <w:rPr>
          <w:rFonts w:ascii="Arial" w:hAnsi="Arial" w:cs="Arial"/>
          <w:sz w:val="22"/>
          <w:szCs w:val="22"/>
        </w:rPr>
        <w:t>staff</w:t>
      </w:r>
      <w:r w:rsidR="00537CBF">
        <w:rPr>
          <w:rFonts w:ascii="Arial" w:hAnsi="Arial" w:cs="Arial"/>
          <w:sz w:val="22"/>
          <w:szCs w:val="22"/>
        </w:rPr>
        <w:t xml:space="preserve">, including </w:t>
      </w:r>
      <w:r w:rsidR="00836748">
        <w:rPr>
          <w:rFonts w:ascii="Arial" w:hAnsi="Arial" w:cs="Arial"/>
          <w:sz w:val="22"/>
          <w:szCs w:val="22"/>
        </w:rPr>
        <w:t xml:space="preserve">3 </w:t>
      </w:r>
      <w:r w:rsidR="00537CBF" w:rsidRPr="008B4600">
        <w:rPr>
          <w:rFonts w:ascii="Arial" w:hAnsi="Arial" w:cs="Arial"/>
          <w:sz w:val="22"/>
          <w:szCs w:val="22"/>
        </w:rPr>
        <w:t xml:space="preserve">veterinarians, </w:t>
      </w:r>
      <w:r w:rsidR="00537CBF">
        <w:rPr>
          <w:rFonts w:ascii="Arial" w:hAnsi="Arial" w:cs="Arial"/>
          <w:sz w:val="22"/>
          <w:szCs w:val="22"/>
        </w:rPr>
        <w:t xml:space="preserve">2 </w:t>
      </w:r>
      <w:r w:rsidR="00537CBF" w:rsidRPr="008B4600">
        <w:rPr>
          <w:rFonts w:ascii="Arial" w:hAnsi="Arial" w:cs="Arial"/>
          <w:sz w:val="22"/>
          <w:szCs w:val="22"/>
        </w:rPr>
        <w:t>veterinary resident</w:t>
      </w:r>
      <w:r w:rsidR="00537CBF">
        <w:rPr>
          <w:rFonts w:ascii="Arial" w:hAnsi="Arial" w:cs="Arial"/>
          <w:sz w:val="22"/>
          <w:szCs w:val="22"/>
        </w:rPr>
        <w:t>s</w:t>
      </w:r>
      <w:r w:rsidR="00537CBF" w:rsidRPr="008B4600">
        <w:rPr>
          <w:rFonts w:ascii="Arial" w:hAnsi="Arial" w:cs="Arial"/>
          <w:sz w:val="22"/>
          <w:szCs w:val="22"/>
        </w:rPr>
        <w:t xml:space="preserve">, </w:t>
      </w:r>
      <w:r w:rsidR="00836748">
        <w:rPr>
          <w:rFonts w:ascii="Arial" w:hAnsi="Arial" w:cs="Arial"/>
          <w:sz w:val="22"/>
          <w:szCs w:val="22"/>
        </w:rPr>
        <w:t>2</w:t>
      </w:r>
      <w:r w:rsidR="00836748" w:rsidRPr="008B4600">
        <w:rPr>
          <w:rFonts w:ascii="Arial" w:hAnsi="Arial" w:cs="Arial"/>
          <w:sz w:val="22"/>
          <w:szCs w:val="22"/>
        </w:rPr>
        <w:t xml:space="preserve"> </w:t>
      </w:r>
      <w:r w:rsidR="00537CBF" w:rsidRPr="008B4600">
        <w:rPr>
          <w:rFonts w:ascii="Arial" w:hAnsi="Arial" w:cs="Arial"/>
          <w:sz w:val="22"/>
          <w:szCs w:val="22"/>
        </w:rPr>
        <w:t>veterinary technicians, 3 supervisors</w:t>
      </w:r>
      <w:r w:rsidR="00036FFF">
        <w:rPr>
          <w:rFonts w:ascii="Arial" w:hAnsi="Arial" w:cs="Arial"/>
          <w:sz w:val="22"/>
          <w:szCs w:val="22"/>
        </w:rPr>
        <w:t>,</w:t>
      </w:r>
      <w:r w:rsidR="00537CBF">
        <w:rPr>
          <w:rFonts w:ascii="Arial" w:hAnsi="Arial" w:cs="Arial"/>
          <w:sz w:val="22"/>
          <w:szCs w:val="22"/>
        </w:rPr>
        <w:t xml:space="preserve"> </w:t>
      </w:r>
      <w:r w:rsidR="00836748">
        <w:rPr>
          <w:rFonts w:ascii="Arial" w:hAnsi="Arial" w:cs="Arial"/>
          <w:sz w:val="22"/>
          <w:szCs w:val="22"/>
        </w:rPr>
        <w:t>1</w:t>
      </w:r>
      <w:r w:rsidR="0078110C">
        <w:rPr>
          <w:rFonts w:ascii="Arial" w:hAnsi="Arial" w:cs="Arial"/>
          <w:sz w:val="22"/>
          <w:szCs w:val="22"/>
        </w:rPr>
        <w:t>8</w:t>
      </w:r>
      <w:r w:rsidR="00836748">
        <w:rPr>
          <w:rFonts w:ascii="Arial" w:hAnsi="Arial" w:cs="Arial"/>
          <w:sz w:val="22"/>
          <w:szCs w:val="22"/>
        </w:rPr>
        <w:t xml:space="preserve"> </w:t>
      </w:r>
      <w:r w:rsidR="00537CBF">
        <w:rPr>
          <w:rFonts w:ascii="Arial" w:hAnsi="Arial" w:cs="Arial"/>
          <w:sz w:val="22"/>
          <w:szCs w:val="22"/>
        </w:rPr>
        <w:t xml:space="preserve">husbandry technicians and </w:t>
      </w:r>
      <w:r w:rsidR="00EB35A1">
        <w:rPr>
          <w:rFonts w:ascii="Arial" w:hAnsi="Arial" w:cs="Arial"/>
          <w:sz w:val="22"/>
          <w:szCs w:val="22"/>
        </w:rPr>
        <w:t>11</w:t>
      </w:r>
      <w:r w:rsidR="00537CBF">
        <w:rPr>
          <w:rFonts w:ascii="Arial" w:hAnsi="Arial" w:cs="Arial"/>
          <w:sz w:val="22"/>
          <w:szCs w:val="22"/>
        </w:rPr>
        <w:t xml:space="preserve"> cage wash technicians, along with </w:t>
      </w:r>
      <w:r w:rsidR="00537CBF" w:rsidRPr="008B4600">
        <w:rPr>
          <w:rFonts w:ascii="Arial" w:hAnsi="Arial" w:cs="Arial"/>
          <w:sz w:val="22"/>
          <w:szCs w:val="22"/>
        </w:rPr>
        <w:t>additional b</w:t>
      </w:r>
      <w:r w:rsidR="00537CBF">
        <w:rPr>
          <w:rFonts w:ascii="Arial" w:hAnsi="Arial" w:cs="Arial"/>
          <w:sz w:val="22"/>
          <w:szCs w:val="22"/>
        </w:rPr>
        <w:t xml:space="preserve">usiness </w:t>
      </w:r>
      <w:r w:rsidR="00537CBF" w:rsidRPr="008B4600">
        <w:rPr>
          <w:rFonts w:ascii="Arial" w:hAnsi="Arial" w:cs="Arial"/>
          <w:sz w:val="22"/>
          <w:szCs w:val="22"/>
        </w:rPr>
        <w:t xml:space="preserve">and </w:t>
      </w:r>
      <w:r w:rsidR="00537CBF">
        <w:rPr>
          <w:rFonts w:ascii="Arial" w:hAnsi="Arial" w:cs="Arial"/>
          <w:sz w:val="22"/>
          <w:szCs w:val="22"/>
        </w:rPr>
        <w:t xml:space="preserve">operations </w:t>
      </w:r>
      <w:r w:rsidR="00537CBF" w:rsidRPr="008B4600">
        <w:rPr>
          <w:rFonts w:ascii="Arial" w:hAnsi="Arial" w:cs="Arial"/>
          <w:sz w:val="22"/>
          <w:szCs w:val="22"/>
        </w:rPr>
        <w:t>support staff</w:t>
      </w:r>
      <w:r w:rsidR="00836748">
        <w:rPr>
          <w:rFonts w:ascii="Arial" w:hAnsi="Arial" w:cs="Arial"/>
          <w:sz w:val="22"/>
          <w:szCs w:val="22"/>
        </w:rPr>
        <w:t xml:space="preserve">. </w:t>
      </w:r>
      <w:r w:rsidR="00F14314">
        <w:rPr>
          <w:rFonts w:ascii="Arial" w:hAnsi="Arial" w:cs="Arial"/>
          <w:sz w:val="22"/>
          <w:szCs w:val="22"/>
        </w:rPr>
        <w:t xml:space="preserve">With the exception of recent hires, </w:t>
      </w:r>
      <w:r w:rsidR="00287F71">
        <w:rPr>
          <w:rFonts w:ascii="Arial" w:hAnsi="Arial" w:cs="Arial"/>
          <w:sz w:val="22"/>
          <w:szCs w:val="22"/>
        </w:rPr>
        <w:t>100</w:t>
      </w:r>
      <w:r w:rsidR="00836748">
        <w:rPr>
          <w:rFonts w:ascii="Arial" w:hAnsi="Arial" w:cs="Arial"/>
          <w:sz w:val="22"/>
          <w:szCs w:val="22"/>
        </w:rPr>
        <w:t>% of the</w:t>
      </w:r>
      <w:r w:rsidR="00836748" w:rsidRPr="00976474">
        <w:rPr>
          <w:rFonts w:ascii="Arial" w:hAnsi="Arial" w:cs="Arial"/>
          <w:sz w:val="22"/>
          <w:szCs w:val="22"/>
        </w:rPr>
        <w:t xml:space="preserve"> animal husbandry technicians are certified by the American Association for Laboratory Animal Science (AALAS)</w:t>
      </w:r>
      <w:r w:rsidRPr="00976474">
        <w:rPr>
          <w:rFonts w:ascii="Arial" w:hAnsi="Arial" w:cs="Arial"/>
          <w:sz w:val="22"/>
          <w:szCs w:val="22"/>
        </w:rPr>
        <w:t>. Emergency call is rotated among the veterinary fa</w:t>
      </w:r>
      <w:r w:rsidR="000F7898" w:rsidRPr="00976474">
        <w:rPr>
          <w:rFonts w:ascii="Arial" w:hAnsi="Arial" w:cs="Arial"/>
          <w:sz w:val="22"/>
          <w:szCs w:val="22"/>
        </w:rPr>
        <w:t xml:space="preserve">culty and residents. </w:t>
      </w:r>
      <w:r w:rsidRPr="00976474">
        <w:rPr>
          <w:rFonts w:ascii="Arial" w:hAnsi="Arial" w:cs="Arial"/>
          <w:sz w:val="22"/>
          <w:szCs w:val="22"/>
        </w:rPr>
        <w:t xml:space="preserve">One veterinarian and one animal care supervisor are always on call and available for emergency care, 24/7, 365 days a year. The LACU offers small equipment available for investigator use, including several isoflurane anesthesia units and temperature-controlled circulating water pads. Larger equipment available includes the Visual Sonics Vevo 2100 ultrasound system, the CODA Tail-Cuff Blood Pressure Monitoring system, Sedecal Vet-Ray digital radiography, a Perkin-Elmer (Xenogen) IVIS Lumina </w:t>
      </w:r>
      <w:r w:rsidR="00B24484">
        <w:rPr>
          <w:rFonts w:ascii="Arial" w:hAnsi="Arial" w:cs="Arial"/>
          <w:sz w:val="22"/>
          <w:szCs w:val="22"/>
        </w:rPr>
        <w:t xml:space="preserve">XMRS </w:t>
      </w:r>
      <w:r w:rsidRPr="00976474">
        <w:rPr>
          <w:rFonts w:ascii="Arial" w:hAnsi="Arial" w:cs="Arial"/>
          <w:sz w:val="22"/>
          <w:szCs w:val="22"/>
        </w:rPr>
        <w:t>animal bio</w:t>
      </w:r>
      <w:r w:rsidR="001F09FF" w:rsidRPr="00976474">
        <w:rPr>
          <w:rFonts w:ascii="Arial" w:hAnsi="Arial" w:cs="Arial"/>
          <w:sz w:val="22"/>
          <w:szCs w:val="22"/>
        </w:rPr>
        <w:t>-imager with luminescent</w:t>
      </w:r>
      <w:r w:rsidR="00B24484">
        <w:rPr>
          <w:rFonts w:ascii="Arial" w:hAnsi="Arial" w:cs="Arial"/>
          <w:sz w:val="22"/>
          <w:szCs w:val="22"/>
        </w:rPr>
        <w:t xml:space="preserve">, </w:t>
      </w:r>
      <w:r w:rsidR="001F09FF" w:rsidRPr="00976474">
        <w:rPr>
          <w:rFonts w:ascii="Arial" w:hAnsi="Arial" w:cs="Arial"/>
          <w:sz w:val="22"/>
          <w:szCs w:val="22"/>
        </w:rPr>
        <w:t>fl</w:t>
      </w:r>
      <w:r w:rsidRPr="00976474">
        <w:rPr>
          <w:rFonts w:ascii="Arial" w:hAnsi="Arial" w:cs="Arial"/>
          <w:sz w:val="22"/>
          <w:szCs w:val="22"/>
        </w:rPr>
        <w:t xml:space="preserve">uorescent </w:t>
      </w:r>
      <w:r w:rsidR="00B24484">
        <w:rPr>
          <w:rFonts w:ascii="Arial" w:hAnsi="Arial" w:cs="Arial"/>
          <w:sz w:val="22"/>
          <w:szCs w:val="22"/>
        </w:rPr>
        <w:t xml:space="preserve">and x-ray </w:t>
      </w:r>
      <w:r w:rsidRPr="00976474">
        <w:rPr>
          <w:rFonts w:ascii="Arial" w:hAnsi="Arial" w:cs="Arial"/>
          <w:sz w:val="22"/>
          <w:szCs w:val="22"/>
        </w:rPr>
        <w:t>imaging capabilities, and an Abaxis VetScan HM5 blood analyzer.</w:t>
      </w:r>
    </w:p>
    <w:p w14:paraId="7DDC2C01" w14:textId="77777777" w:rsidR="00FD05A3" w:rsidRPr="00976474" w:rsidRDefault="00FD05A3" w:rsidP="0009789E">
      <w:pPr>
        <w:jc w:val="both"/>
        <w:rPr>
          <w:rFonts w:ascii="Arial" w:hAnsi="Arial" w:cs="Arial"/>
          <w:sz w:val="22"/>
          <w:szCs w:val="22"/>
        </w:rPr>
      </w:pPr>
    </w:p>
    <w:p w14:paraId="029113F5" w14:textId="77777777" w:rsidR="00FD05A3" w:rsidRPr="00836D9D" w:rsidRDefault="00FD05A3" w:rsidP="0009789E">
      <w:pPr>
        <w:jc w:val="both"/>
        <w:rPr>
          <w:rFonts w:ascii="Arial" w:hAnsi="Arial" w:cs="Arial"/>
          <w:b/>
          <w:sz w:val="22"/>
          <w:szCs w:val="22"/>
        </w:rPr>
      </w:pPr>
      <w:r w:rsidRPr="00836D9D">
        <w:rPr>
          <w:rFonts w:ascii="Arial" w:hAnsi="Arial" w:cs="Arial"/>
          <w:b/>
          <w:sz w:val="22"/>
          <w:szCs w:val="22"/>
        </w:rPr>
        <w:t>Regional Bio</w:t>
      </w:r>
      <w:r w:rsidR="007253F0" w:rsidRPr="00836D9D">
        <w:rPr>
          <w:rFonts w:ascii="Arial" w:hAnsi="Arial" w:cs="Arial"/>
          <w:b/>
          <w:sz w:val="22"/>
          <w:szCs w:val="22"/>
        </w:rPr>
        <w:t xml:space="preserve">containment Laboratory (RBL); </w:t>
      </w:r>
      <w:r w:rsidR="00B37519" w:rsidRPr="00836D9D">
        <w:rPr>
          <w:rFonts w:ascii="Arial" w:hAnsi="Arial" w:cs="Arial"/>
          <w:b/>
          <w:sz w:val="22"/>
          <w:szCs w:val="22"/>
        </w:rPr>
        <w:t>Colleen Jon</w:t>
      </w:r>
      <w:r w:rsidR="007E6528" w:rsidRPr="00836D9D">
        <w:rPr>
          <w:rFonts w:ascii="Arial" w:hAnsi="Arial" w:cs="Arial"/>
          <w:b/>
          <w:sz w:val="22"/>
          <w:szCs w:val="22"/>
        </w:rPr>
        <w:t>ss</w:t>
      </w:r>
      <w:r w:rsidR="00B37519" w:rsidRPr="00836D9D">
        <w:rPr>
          <w:rFonts w:ascii="Arial" w:hAnsi="Arial" w:cs="Arial"/>
          <w:b/>
          <w:sz w:val="22"/>
          <w:szCs w:val="22"/>
        </w:rPr>
        <w:t>on, PhD, Director</w:t>
      </w:r>
      <w:r w:rsidR="007253F0" w:rsidRPr="00836D9D">
        <w:rPr>
          <w:rFonts w:ascii="Arial" w:hAnsi="Arial" w:cs="Arial"/>
          <w:b/>
          <w:sz w:val="22"/>
          <w:szCs w:val="22"/>
        </w:rPr>
        <w:t>:</w:t>
      </w:r>
    </w:p>
    <w:p w14:paraId="72826295" w14:textId="12EBEF87" w:rsidR="00EA0CE5" w:rsidRDefault="00211447" w:rsidP="00EA0CE5">
      <w:pPr>
        <w:jc w:val="both"/>
        <w:rPr>
          <w:rFonts w:ascii="Arial" w:hAnsi="Arial" w:cs="Arial"/>
          <w:sz w:val="22"/>
          <w:szCs w:val="22"/>
        </w:rPr>
      </w:pPr>
      <w:r w:rsidRPr="00836D9D">
        <w:rPr>
          <w:rFonts w:ascii="Arial" w:hAnsi="Arial" w:cs="Arial"/>
          <w:sz w:val="22"/>
          <w:szCs w:val="22"/>
        </w:rPr>
        <w:t xml:space="preserve">The RBL Core’s mission is to provide state-of-the-art Biosafety Level 3 (BSL-3) and Animal </w:t>
      </w:r>
      <w:r w:rsidR="00EA0CE5">
        <w:rPr>
          <w:rFonts w:ascii="Arial" w:hAnsi="Arial" w:cs="Arial"/>
          <w:sz w:val="22"/>
          <w:szCs w:val="22"/>
        </w:rPr>
        <w:t>BSL-</w:t>
      </w:r>
      <w:r w:rsidRPr="00836D9D">
        <w:rPr>
          <w:rFonts w:ascii="Arial" w:hAnsi="Arial" w:cs="Arial"/>
          <w:sz w:val="22"/>
          <w:szCs w:val="22"/>
        </w:rPr>
        <w:t xml:space="preserve">3 </w:t>
      </w:r>
      <w:r w:rsidR="00EA0CE5">
        <w:rPr>
          <w:rFonts w:ascii="Arial" w:hAnsi="Arial" w:cs="Arial"/>
          <w:sz w:val="22"/>
          <w:szCs w:val="22"/>
        </w:rPr>
        <w:t xml:space="preserve">(ABSL-3) </w:t>
      </w:r>
      <w:r w:rsidRPr="00836D9D">
        <w:rPr>
          <w:rFonts w:ascii="Arial" w:hAnsi="Arial" w:cs="Arial"/>
          <w:sz w:val="22"/>
          <w:szCs w:val="22"/>
        </w:rPr>
        <w:t>containment laboratories</w:t>
      </w:r>
      <w:r w:rsidR="00EA0CE5">
        <w:rPr>
          <w:rFonts w:ascii="Arial" w:hAnsi="Arial" w:cs="Arial"/>
          <w:sz w:val="22"/>
          <w:szCs w:val="22"/>
        </w:rPr>
        <w:t xml:space="preserve"> in support of basic and translational research on infectious agents</w:t>
      </w:r>
      <w:r w:rsidRPr="00836D9D">
        <w:rPr>
          <w:rFonts w:ascii="Arial" w:hAnsi="Arial" w:cs="Arial"/>
          <w:sz w:val="22"/>
          <w:szCs w:val="22"/>
        </w:rPr>
        <w:t xml:space="preserve">. The UTHSC RBL is one of 11 such facilities throughout the country constructed with funds secured by an extramural (NIH/NIAID) award with a match by the </w:t>
      </w:r>
      <w:r w:rsidR="006E5E76">
        <w:rPr>
          <w:rFonts w:ascii="Arial" w:hAnsi="Arial" w:cs="Arial"/>
          <w:sz w:val="22"/>
          <w:szCs w:val="22"/>
        </w:rPr>
        <w:t>u</w:t>
      </w:r>
      <w:r w:rsidRPr="00836D9D">
        <w:rPr>
          <w:rFonts w:ascii="Arial" w:hAnsi="Arial" w:cs="Arial"/>
          <w:sz w:val="22"/>
          <w:szCs w:val="22"/>
        </w:rPr>
        <w:t xml:space="preserve">niversity. Operational since 2010, the RBL is approved for </w:t>
      </w:r>
      <w:r w:rsidR="00EA0CE5">
        <w:rPr>
          <w:rFonts w:ascii="Arial" w:hAnsi="Arial" w:cs="Arial"/>
          <w:sz w:val="22"/>
          <w:szCs w:val="22"/>
        </w:rPr>
        <w:t xml:space="preserve">Risk Group 3 pathogens and select agents </w:t>
      </w:r>
      <w:r w:rsidRPr="00836D9D">
        <w:rPr>
          <w:rFonts w:ascii="Arial" w:hAnsi="Arial" w:cs="Arial"/>
          <w:sz w:val="22"/>
          <w:szCs w:val="22"/>
        </w:rPr>
        <w:t xml:space="preserve">through the Centers for Disease Control and Prevention and </w:t>
      </w:r>
      <w:r w:rsidR="00EA0CE5">
        <w:rPr>
          <w:rFonts w:ascii="Arial" w:hAnsi="Arial" w:cs="Arial"/>
          <w:sz w:val="22"/>
          <w:szCs w:val="22"/>
        </w:rPr>
        <w:t xml:space="preserve">USDA and </w:t>
      </w:r>
      <w:r w:rsidRPr="00836D9D">
        <w:rPr>
          <w:rFonts w:ascii="Arial" w:hAnsi="Arial" w:cs="Arial"/>
          <w:sz w:val="22"/>
          <w:szCs w:val="22"/>
        </w:rPr>
        <w:t xml:space="preserve">has AAALAC accreditation. The RBL is a 30,000 </w:t>
      </w:r>
      <w:r w:rsidR="006E5E76">
        <w:rPr>
          <w:rFonts w:ascii="Arial" w:hAnsi="Arial" w:cs="Arial"/>
          <w:sz w:val="22"/>
          <w:szCs w:val="22"/>
        </w:rPr>
        <w:t>SF</w:t>
      </w:r>
      <w:r w:rsidRPr="00836D9D">
        <w:rPr>
          <w:rFonts w:ascii="Arial" w:hAnsi="Arial" w:cs="Arial"/>
          <w:sz w:val="22"/>
          <w:szCs w:val="22"/>
        </w:rPr>
        <w:t xml:space="preserve"> facility housing six ABSL-3 suites, eight BSL-3 laboratories, and one large BSL-2 multi-suite laboratory. </w:t>
      </w:r>
      <w:r w:rsidR="00EA0CE5">
        <w:rPr>
          <w:rFonts w:ascii="Arial" w:hAnsi="Arial" w:cs="Arial"/>
          <w:sz w:val="22"/>
          <w:szCs w:val="22"/>
        </w:rPr>
        <w:t>The BSL-3 and ABSL-3 laboratories</w:t>
      </w:r>
      <w:r w:rsidR="00EA0CE5" w:rsidRPr="00836D9D">
        <w:rPr>
          <w:rFonts w:ascii="Arial" w:hAnsi="Arial" w:cs="Arial"/>
          <w:sz w:val="22"/>
          <w:szCs w:val="22"/>
        </w:rPr>
        <w:t xml:space="preserve"> have </w:t>
      </w:r>
      <w:r w:rsidR="00EA0CE5">
        <w:rPr>
          <w:rFonts w:ascii="Arial" w:hAnsi="Arial" w:cs="Arial"/>
          <w:sz w:val="22"/>
          <w:szCs w:val="22"/>
        </w:rPr>
        <w:t xml:space="preserve">recirculated air with </w:t>
      </w:r>
      <w:r w:rsidR="00EA0CE5" w:rsidRPr="00836D9D">
        <w:rPr>
          <w:rFonts w:ascii="Arial" w:hAnsi="Arial" w:cs="Arial"/>
          <w:sz w:val="22"/>
          <w:szCs w:val="22"/>
        </w:rPr>
        <w:t xml:space="preserve">HEPA filtration, pass-through autoclaves, and personal protective equipment (PPE) protocols to meet the </w:t>
      </w:r>
      <w:r w:rsidR="00EA0CE5">
        <w:rPr>
          <w:rFonts w:ascii="Arial" w:hAnsi="Arial" w:cs="Arial"/>
          <w:sz w:val="22"/>
          <w:szCs w:val="22"/>
        </w:rPr>
        <w:t xml:space="preserve">CDC </w:t>
      </w:r>
      <w:r w:rsidR="00EA0CE5" w:rsidRPr="00836D9D">
        <w:rPr>
          <w:rFonts w:ascii="Arial" w:hAnsi="Arial" w:cs="Arial"/>
          <w:sz w:val="22"/>
          <w:szCs w:val="22"/>
        </w:rPr>
        <w:t>BMBL</w:t>
      </w:r>
      <w:r w:rsidR="006E5E76">
        <w:rPr>
          <w:rFonts w:ascii="Arial" w:hAnsi="Arial" w:cs="Arial"/>
          <w:sz w:val="22"/>
          <w:szCs w:val="22"/>
        </w:rPr>
        <w:t>.</w:t>
      </w:r>
      <w:r w:rsidR="00EA0CE5" w:rsidRPr="00836D9D">
        <w:rPr>
          <w:rFonts w:ascii="Arial" w:hAnsi="Arial" w:cs="Arial"/>
          <w:sz w:val="22"/>
          <w:szCs w:val="22"/>
        </w:rPr>
        <w:t xml:space="preserve"> </w:t>
      </w:r>
      <w:r w:rsidR="00945CFE" w:rsidRPr="00836D9D">
        <w:rPr>
          <w:rFonts w:ascii="Arial" w:hAnsi="Arial" w:cs="Arial"/>
          <w:sz w:val="22"/>
          <w:szCs w:val="22"/>
        </w:rPr>
        <w:t xml:space="preserve">Each </w:t>
      </w:r>
      <w:r w:rsidR="00945CFE" w:rsidRPr="006E5E76">
        <w:rPr>
          <w:rFonts w:ascii="Arial" w:hAnsi="Arial" w:cs="Arial"/>
          <w:i/>
          <w:sz w:val="22"/>
          <w:szCs w:val="22"/>
        </w:rPr>
        <w:t>in vitro</w:t>
      </w:r>
      <w:r w:rsidR="00945CFE" w:rsidRPr="00836D9D">
        <w:rPr>
          <w:rFonts w:ascii="Arial" w:hAnsi="Arial" w:cs="Arial"/>
          <w:sz w:val="22"/>
          <w:szCs w:val="22"/>
        </w:rPr>
        <w:t xml:space="preserve"> lab has CO2 incubators, a centrifuge, a microscope,</w:t>
      </w:r>
      <w:r w:rsidR="00FF4A7F">
        <w:rPr>
          <w:rFonts w:ascii="Arial" w:hAnsi="Arial" w:cs="Arial"/>
          <w:sz w:val="22"/>
          <w:szCs w:val="22"/>
        </w:rPr>
        <w:t xml:space="preserve"> </w:t>
      </w:r>
      <w:r w:rsidR="00945CFE" w:rsidRPr="00836D9D">
        <w:rPr>
          <w:rFonts w:ascii="Arial" w:hAnsi="Arial" w:cs="Arial"/>
          <w:sz w:val="22"/>
          <w:szCs w:val="22"/>
        </w:rPr>
        <w:t>a -80</w:t>
      </w:r>
      <w:r w:rsidR="00951C20" w:rsidRPr="00836D9D">
        <w:rPr>
          <w:rFonts w:ascii="Arial" w:hAnsi="Arial" w:cs="Arial"/>
          <w:sz w:val="22"/>
          <w:szCs w:val="22"/>
        </w:rPr>
        <w:t>C</w:t>
      </w:r>
      <w:r w:rsidR="00945CFE" w:rsidRPr="00836D9D">
        <w:rPr>
          <w:rFonts w:ascii="Arial" w:hAnsi="Arial" w:cs="Arial"/>
          <w:sz w:val="22"/>
          <w:szCs w:val="22"/>
        </w:rPr>
        <w:t xml:space="preserve"> freezer, a +4</w:t>
      </w:r>
      <w:r w:rsidR="00951C20" w:rsidRPr="00836D9D">
        <w:rPr>
          <w:rFonts w:ascii="Arial" w:hAnsi="Arial" w:cs="Arial"/>
          <w:sz w:val="22"/>
          <w:szCs w:val="22"/>
        </w:rPr>
        <w:t>C</w:t>
      </w:r>
      <w:r w:rsidR="00945CFE" w:rsidRPr="00836D9D">
        <w:rPr>
          <w:rFonts w:ascii="Arial" w:hAnsi="Arial" w:cs="Arial"/>
          <w:sz w:val="22"/>
          <w:szCs w:val="22"/>
        </w:rPr>
        <w:t xml:space="preserve"> refrigerator, and water bath. The </w:t>
      </w:r>
      <w:r w:rsidR="00945CFE" w:rsidRPr="006E5E76">
        <w:rPr>
          <w:rFonts w:ascii="Arial" w:hAnsi="Arial" w:cs="Arial"/>
          <w:i/>
          <w:iCs/>
          <w:sz w:val="22"/>
          <w:szCs w:val="22"/>
        </w:rPr>
        <w:t>in vitro</w:t>
      </w:r>
      <w:r w:rsidR="00945CFE" w:rsidRPr="00836D9D">
        <w:rPr>
          <w:rFonts w:ascii="Arial" w:hAnsi="Arial" w:cs="Arial"/>
          <w:sz w:val="22"/>
          <w:szCs w:val="22"/>
        </w:rPr>
        <w:t xml:space="preserve"> suites in the RBL (~2500 </w:t>
      </w:r>
      <w:r w:rsidR="006E5E76">
        <w:rPr>
          <w:rFonts w:ascii="Arial" w:hAnsi="Arial" w:cs="Arial"/>
          <w:sz w:val="22"/>
          <w:szCs w:val="22"/>
        </w:rPr>
        <w:t>SF</w:t>
      </w:r>
      <w:r w:rsidR="00945CFE" w:rsidRPr="00836D9D">
        <w:rPr>
          <w:rFonts w:ascii="Arial" w:hAnsi="Arial" w:cs="Arial"/>
          <w:sz w:val="22"/>
          <w:szCs w:val="22"/>
        </w:rPr>
        <w:t xml:space="preserve">) have exhaust HEPA filtration, BSCs, </w:t>
      </w:r>
      <w:r w:rsidR="006E5E76">
        <w:rPr>
          <w:rFonts w:ascii="Arial" w:hAnsi="Arial" w:cs="Arial"/>
          <w:sz w:val="22"/>
          <w:szCs w:val="22"/>
        </w:rPr>
        <w:t>four</w:t>
      </w:r>
      <w:r w:rsidR="00945CFE" w:rsidRPr="00836D9D">
        <w:rPr>
          <w:rFonts w:ascii="Arial" w:hAnsi="Arial" w:cs="Arial"/>
          <w:sz w:val="22"/>
          <w:szCs w:val="22"/>
        </w:rPr>
        <w:t xml:space="preserve"> pass-through autoclaves, and PPE protocols to meet the BMBL based on risk assessment for agents. </w:t>
      </w:r>
      <w:r w:rsidR="00400D94" w:rsidRPr="00836D9D">
        <w:rPr>
          <w:rFonts w:ascii="Arial" w:hAnsi="Arial" w:cs="Arial"/>
          <w:sz w:val="22"/>
          <w:szCs w:val="22"/>
        </w:rPr>
        <w:t>The RBL BSL-3 facilities support work with Risk Group 3 and CDC and/or USDA</w:t>
      </w:r>
      <w:r w:rsidR="00EC488B">
        <w:rPr>
          <w:rFonts w:ascii="Arial" w:hAnsi="Arial" w:cs="Arial"/>
          <w:sz w:val="22"/>
          <w:szCs w:val="22"/>
        </w:rPr>
        <w:t xml:space="preserve"> s</w:t>
      </w:r>
      <w:r w:rsidR="00400D94" w:rsidRPr="00836D9D">
        <w:rPr>
          <w:rFonts w:ascii="Arial" w:hAnsi="Arial" w:cs="Arial"/>
          <w:sz w:val="22"/>
          <w:szCs w:val="22"/>
        </w:rPr>
        <w:t xml:space="preserve">elect </w:t>
      </w:r>
      <w:r w:rsidR="00EC488B">
        <w:rPr>
          <w:rFonts w:ascii="Arial" w:hAnsi="Arial" w:cs="Arial"/>
          <w:sz w:val="22"/>
          <w:szCs w:val="22"/>
        </w:rPr>
        <w:t>a</w:t>
      </w:r>
      <w:r w:rsidR="00400D94" w:rsidRPr="00836D9D">
        <w:rPr>
          <w:rFonts w:ascii="Arial" w:hAnsi="Arial" w:cs="Arial"/>
          <w:sz w:val="22"/>
          <w:szCs w:val="22"/>
        </w:rPr>
        <w:t xml:space="preserve">gents. </w:t>
      </w:r>
      <w:r w:rsidRPr="00836D9D">
        <w:rPr>
          <w:rFonts w:ascii="Arial" w:hAnsi="Arial" w:cs="Arial"/>
          <w:sz w:val="22"/>
          <w:szCs w:val="22"/>
        </w:rPr>
        <w:t>All animals are housed in Allentown BioContainment Units (BCU</w:t>
      </w:r>
      <w:r w:rsidR="003A431F">
        <w:rPr>
          <w:rFonts w:ascii="Arial" w:hAnsi="Arial" w:cs="Arial"/>
          <w:sz w:val="22"/>
          <w:szCs w:val="22"/>
        </w:rPr>
        <w:t>);</w:t>
      </w:r>
      <w:r w:rsidRPr="00836D9D">
        <w:rPr>
          <w:rFonts w:ascii="Arial" w:hAnsi="Arial" w:cs="Arial"/>
          <w:sz w:val="22"/>
          <w:szCs w:val="22"/>
        </w:rPr>
        <w:t xml:space="preserve"> </w:t>
      </w:r>
      <w:r w:rsidR="00647CE6">
        <w:rPr>
          <w:rFonts w:ascii="Arial" w:hAnsi="Arial" w:cs="Arial"/>
          <w:sz w:val="22"/>
          <w:szCs w:val="22"/>
        </w:rPr>
        <w:t xml:space="preserve">the </w:t>
      </w:r>
      <w:r w:rsidR="00647CE6" w:rsidRPr="00836D9D">
        <w:rPr>
          <w:rFonts w:ascii="Arial" w:hAnsi="Arial" w:cs="Arial"/>
          <w:sz w:val="22"/>
          <w:szCs w:val="22"/>
        </w:rPr>
        <w:t xml:space="preserve">BCU racks are monitored remotely using a WiCom Vantage server, which sends text notification of any alarms directly to the animal facility supervisor and facility manager. </w:t>
      </w:r>
      <w:r w:rsidR="00EA0CE5" w:rsidRPr="00836D9D">
        <w:rPr>
          <w:rFonts w:ascii="Arial" w:hAnsi="Arial" w:cs="Arial"/>
          <w:sz w:val="22"/>
          <w:szCs w:val="22"/>
        </w:rPr>
        <w:t>The entire ABSL-3 facility, including HVAC and other support systems, is monitored by daily physical observation, and via the building automation system (Johnson Controls Metasys) for continuous systems monitoring with notification of any alarms through email and auto-dialer to designated RBL facilities personnel.</w:t>
      </w:r>
    </w:p>
    <w:p w14:paraId="0F0CEBF0" w14:textId="77777777" w:rsidR="00EA0CE5" w:rsidRDefault="00EA0CE5" w:rsidP="00EA0CE5">
      <w:pPr>
        <w:jc w:val="both"/>
        <w:rPr>
          <w:rFonts w:ascii="Arial" w:hAnsi="Arial" w:cs="Arial"/>
          <w:sz w:val="22"/>
          <w:szCs w:val="22"/>
        </w:rPr>
      </w:pPr>
    </w:p>
    <w:p w14:paraId="7DC408C3" w14:textId="7AA757F1" w:rsidR="00EA0CE5" w:rsidRDefault="00EA0CE5" w:rsidP="00EA0CE5">
      <w:pPr>
        <w:jc w:val="both"/>
        <w:rPr>
          <w:rFonts w:ascii="Arial" w:hAnsi="Arial" w:cs="Arial"/>
          <w:bCs/>
          <w:sz w:val="22"/>
          <w:szCs w:val="22"/>
        </w:rPr>
      </w:pPr>
      <w:r>
        <w:rPr>
          <w:rFonts w:ascii="Arial" w:hAnsi="Arial" w:cs="Arial"/>
          <w:sz w:val="22"/>
          <w:szCs w:val="22"/>
        </w:rPr>
        <w:lastRenderedPageBreak/>
        <w:t>The RBL offers fee for service activities, such as but not limited to:</w:t>
      </w:r>
      <w:r w:rsidRPr="00836D9D">
        <w:rPr>
          <w:rFonts w:ascii="Arial" w:hAnsi="Arial" w:cs="Arial"/>
          <w:sz w:val="22"/>
          <w:szCs w:val="22"/>
        </w:rPr>
        <w:t xml:space="preserve"> (1) production, characterization</w:t>
      </w:r>
      <w:r>
        <w:rPr>
          <w:rFonts w:ascii="Arial" w:hAnsi="Arial" w:cs="Arial"/>
          <w:sz w:val="22"/>
          <w:szCs w:val="22"/>
        </w:rPr>
        <w:t>, next-generation sequencing</w:t>
      </w:r>
      <w:r w:rsidRPr="00836D9D">
        <w:rPr>
          <w:rFonts w:ascii="Arial" w:hAnsi="Arial" w:cs="Arial"/>
          <w:sz w:val="22"/>
          <w:szCs w:val="22"/>
        </w:rPr>
        <w:t xml:space="preserve"> of the pathogens studies; (2) determination of optimal route and dose for pathogen challenge</w:t>
      </w:r>
      <w:r>
        <w:rPr>
          <w:rFonts w:ascii="Arial" w:hAnsi="Arial" w:cs="Arial"/>
          <w:sz w:val="22"/>
          <w:szCs w:val="22"/>
        </w:rPr>
        <w:t xml:space="preserve"> in small animal models</w:t>
      </w:r>
      <w:r w:rsidRPr="00836D9D">
        <w:rPr>
          <w:rFonts w:ascii="Arial" w:hAnsi="Arial" w:cs="Arial"/>
          <w:sz w:val="22"/>
          <w:szCs w:val="22"/>
        </w:rPr>
        <w:t xml:space="preserve">; (3) natural history of infection in the animal model; (4) determination of the best indicators of infection and correlates of immunity; (5) </w:t>
      </w:r>
      <w:r w:rsidRPr="00836D9D">
        <w:rPr>
          <w:rFonts w:ascii="Arial" w:hAnsi="Arial" w:cs="Arial"/>
          <w:bCs/>
          <w:sz w:val="22"/>
          <w:szCs w:val="22"/>
        </w:rPr>
        <w:t xml:space="preserve">standardization of non-GLP </w:t>
      </w:r>
      <w:r w:rsidR="004563FD">
        <w:rPr>
          <w:rFonts w:ascii="Arial" w:hAnsi="Arial" w:cs="Arial"/>
          <w:bCs/>
          <w:sz w:val="22"/>
          <w:szCs w:val="22"/>
        </w:rPr>
        <w:t>a</w:t>
      </w:r>
      <w:r w:rsidRPr="00836D9D">
        <w:rPr>
          <w:rFonts w:ascii="Arial" w:hAnsi="Arial" w:cs="Arial"/>
          <w:bCs/>
          <w:sz w:val="22"/>
          <w:szCs w:val="22"/>
        </w:rPr>
        <w:t xml:space="preserve">nimal </w:t>
      </w:r>
      <w:r w:rsidR="004563FD">
        <w:rPr>
          <w:rFonts w:ascii="Arial" w:hAnsi="Arial" w:cs="Arial"/>
          <w:bCs/>
          <w:sz w:val="22"/>
          <w:szCs w:val="22"/>
        </w:rPr>
        <w:t>m</w:t>
      </w:r>
      <w:r w:rsidRPr="00836D9D">
        <w:rPr>
          <w:rFonts w:ascii="Arial" w:hAnsi="Arial" w:cs="Arial"/>
          <w:bCs/>
          <w:sz w:val="22"/>
          <w:szCs w:val="22"/>
        </w:rPr>
        <w:t xml:space="preserve">odels for use in “Proof-of-Concept” </w:t>
      </w:r>
      <w:r w:rsidR="004563FD">
        <w:rPr>
          <w:rFonts w:ascii="Arial" w:hAnsi="Arial" w:cs="Arial"/>
          <w:bCs/>
          <w:sz w:val="22"/>
          <w:szCs w:val="22"/>
        </w:rPr>
        <w:t>e</w:t>
      </w:r>
      <w:r w:rsidRPr="00836D9D">
        <w:rPr>
          <w:rFonts w:ascii="Arial" w:hAnsi="Arial" w:cs="Arial"/>
          <w:bCs/>
          <w:sz w:val="22"/>
          <w:szCs w:val="22"/>
        </w:rPr>
        <w:t>fficacy</w:t>
      </w:r>
      <w:r w:rsidR="004563FD">
        <w:rPr>
          <w:rFonts w:ascii="Arial" w:hAnsi="Arial" w:cs="Arial"/>
          <w:bCs/>
          <w:sz w:val="22"/>
          <w:szCs w:val="22"/>
        </w:rPr>
        <w:t xml:space="preserve"> s</w:t>
      </w:r>
      <w:r w:rsidRPr="00836D9D">
        <w:rPr>
          <w:rFonts w:ascii="Arial" w:hAnsi="Arial" w:cs="Arial"/>
          <w:bCs/>
          <w:sz w:val="22"/>
          <w:szCs w:val="22"/>
        </w:rPr>
        <w:t xml:space="preserve">tudies of </w:t>
      </w:r>
      <w:r w:rsidR="004563FD">
        <w:rPr>
          <w:rFonts w:ascii="Arial" w:hAnsi="Arial" w:cs="Arial"/>
          <w:bCs/>
          <w:sz w:val="22"/>
          <w:szCs w:val="22"/>
        </w:rPr>
        <w:t>c</w:t>
      </w:r>
      <w:r w:rsidRPr="00836D9D">
        <w:rPr>
          <w:rFonts w:ascii="Arial" w:hAnsi="Arial" w:cs="Arial"/>
          <w:bCs/>
          <w:sz w:val="22"/>
          <w:szCs w:val="22"/>
        </w:rPr>
        <w:t xml:space="preserve">andidate </w:t>
      </w:r>
      <w:r w:rsidR="004563FD">
        <w:rPr>
          <w:rFonts w:ascii="Arial" w:hAnsi="Arial" w:cs="Arial"/>
          <w:bCs/>
          <w:sz w:val="22"/>
          <w:szCs w:val="22"/>
        </w:rPr>
        <w:t>v</w:t>
      </w:r>
      <w:r w:rsidRPr="00836D9D">
        <w:rPr>
          <w:rFonts w:ascii="Arial" w:hAnsi="Arial" w:cs="Arial"/>
          <w:bCs/>
          <w:sz w:val="22"/>
          <w:szCs w:val="22"/>
        </w:rPr>
        <w:t xml:space="preserve">accines, </w:t>
      </w:r>
      <w:r w:rsidR="004563FD">
        <w:rPr>
          <w:rFonts w:ascii="Arial" w:hAnsi="Arial" w:cs="Arial"/>
          <w:bCs/>
          <w:sz w:val="22"/>
          <w:szCs w:val="22"/>
        </w:rPr>
        <w:t>t</w:t>
      </w:r>
      <w:r w:rsidRPr="00836D9D">
        <w:rPr>
          <w:rFonts w:ascii="Arial" w:hAnsi="Arial" w:cs="Arial"/>
          <w:bCs/>
          <w:sz w:val="22"/>
          <w:szCs w:val="22"/>
        </w:rPr>
        <w:t xml:space="preserve">herapeutics and </w:t>
      </w:r>
      <w:r w:rsidR="004563FD">
        <w:rPr>
          <w:rFonts w:ascii="Arial" w:hAnsi="Arial" w:cs="Arial"/>
          <w:bCs/>
          <w:sz w:val="22"/>
          <w:szCs w:val="22"/>
        </w:rPr>
        <w:t>i</w:t>
      </w:r>
      <w:r w:rsidRPr="00836D9D">
        <w:rPr>
          <w:rFonts w:ascii="Arial" w:hAnsi="Arial" w:cs="Arial"/>
          <w:bCs/>
          <w:sz w:val="22"/>
          <w:szCs w:val="22"/>
        </w:rPr>
        <w:t xml:space="preserve">mmunotherapeutic </w:t>
      </w:r>
      <w:r w:rsidR="004563FD">
        <w:rPr>
          <w:rFonts w:ascii="Arial" w:hAnsi="Arial" w:cs="Arial"/>
          <w:bCs/>
          <w:sz w:val="22"/>
          <w:szCs w:val="22"/>
        </w:rPr>
        <w:t>a</w:t>
      </w:r>
      <w:r w:rsidRPr="00836D9D">
        <w:rPr>
          <w:rFonts w:ascii="Arial" w:hAnsi="Arial" w:cs="Arial"/>
          <w:bCs/>
          <w:sz w:val="22"/>
          <w:szCs w:val="22"/>
        </w:rPr>
        <w:t xml:space="preserve">gents; and (6) </w:t>
      </w:r>
      <w:r>
        <w:rPr>
          <w:rFonts w:ascii="Arial" w:hAnsi="Arial" w:cs="Arial"/>
          <w:bCs/>
          <w:sz w:val="22"/>
          <w:szCs w:val="22"/>
        </w:rPr>
        <w:t xml:space="preserve">testing of </w:t>
      </w:r>
      <w:r w:rsidRPr="00836D9D">
        <w:rPr>
          <w:rFonts w:ascii="Arial" w:hAnsi="Arial" w:cs="Arial"/>
          <w:bCs/>
          <w:sz w:val="22"/>
          <w:szCs w:val="22"/>
        </w:rPr>
        <w:t xml:space="preserve">toxicity and efficacy of candidate molecules or vaccines in small animal models of infectious disease. </w:t>
      </w:r>
    </w:p>
    <w:p w14:paraId="649111FB" w14:textId="77777777" w:rsidR="00EA0CE5" w:rsidRDefault="00EA0CE5" w:rsidP="00EA0CE5">
      <w:pPr>
        <w:jc w:val="both"/>
        <w:rPr>
          <w:rFonts w:ascii="Arial" w:hAnsi="Arial" w:cs="Arial"/>
          <w:bCs/>
          <w:sz w:val="22"/>
          <w:szCs w:val="22"/>
        </w:rPr>
      </w:pPr>
    </w:p>
    <w:p w14:paraId="2C6BAED0" w14:textId="5292A4D2" w:rsidR="00EA0CE5" w:rsidRPr="00836D9D" w:rsidRDefault="00EA0CE5" w:rsidP="00EA0CE5">
      <w:pPr>
        <w:jc w:val="both"/>
        <w:rPr>
          <w:rFonts w:ascii="Arial" w:hAnsi="Arial" w:cs="Arial"/>
          <w:sz w:val="22"/>
          <w:szCs w:val="22"/>
        </w:rPr>
      </w:pPr>
      <w:r w:rsidRPr="00836D9D">
        <w:rPr>
          <w:rFonts w:ascii="Arial" w:hAnsi="Arial" w:cs="Arial"/>
          <w:sz w:val="22"/>
          <w:szCs w:val="22"/>
        </w:rPr>
        <w:t xml:space="preserve">The RBL provides specialized equipment and technical services to support internal and external research for academic or industrial focused projects including the BioAerosol Nebulizing Generator (BANG) unit for nose-only aerosol delivery (mice), which has the capacity to infect up to 64 mice simultaneously, with the ability to perform several aerosol challenges each day. Additional equipment includes a Xenogen Perkin Elmer Spectrum animal bio-imager with luminescent and fluorescent imaging capabilities, a </w:t>
      </w:r>
      <w:r w:rsidR="000A2997">
        <w:rPr>
          <w:rFonts w:ascii="Arial" w:hAnsi="Arial" w:cs="Arial"/>
          <w:sz w:val="22"/>
          <w:szCs w:val="22"/>
        </w:rPr>
        <w:t>Miltenyi Tyto cell sorter</w:t>
      </w:r>
      <w:r w:rsidRPr="00836D9D">
        <w:rPr>
          <w:rFonts w:ascii="Arial" w:hAnsi="Arial" w:cs="Arial"/>
          <w:sz w:val="22"/>
          <w:szCs w:val="22"/>
        </w:rPr>
        <w:t xml:space="preserve">, </w:t>
      </w:r>
      <w:r w:rsidR="001A4C85">
        <w:rPr>
          <w:rFonts w:ascii="Arial" w:hAnsi="Arial" w:cs="Arial"/>
          <w:sz w:val="22"/>
          <w:szCs w:val="22"/>
        </w:rPr>
        <w:t xml:space="preserve">Cytek Aurora Spectral Analyzer, a </w:t>
      </w:r>
      <w:r>
        <w:rPr>
          <w:rFonts w:ascii="Arial" w:hAnsi="Arial" w:cs="Arial"/>
          <w:sz w:val="22"/>
          <w:szCs w:val="22"/>
        </w:rPr>
        <w:t xml:space="preserve">Luminex 100, </w:t>
      </w:r>
      <w:r w:rsidRPr="00836D9D">
        <w:rPr>
          <w:rFonts w:ascii="Arial" w:hAnsi="Arial" w:cs="Arial"/>
          <w:sz w:val="22"/>
          <w:szCs w:val="22"/>
        </w:rPr>
        <w:t xml:space="preserve">MagPix, Biotek Synergy and EnVision readers in containment, QuantStudio 6 Flex real-time PCR system, KingFisher Flex Purification system, </w:t>
      </w:r>
      <w:r>
        <w:rPr>
          <w:rFonts w:ascii="Arial" w:hAnsi="Arial" w:cs="Arial"/>
          <w:sz w:val="22"/>
          <w:szCs w:val="22"/>
        </w:rPr>
        <w:t xml:space="preserve">Agilent BioAnalyzer, Illumina MiSeq, </w:t>
      </w:r>
      <w:r w:rsidRPr="00836D9D">
        <w:rPr>
          <w:rFonts w:ascii="Arial" w:hAnsi="Arial" w:cs="Arial"/>
          <w:sz w:val="22"/>
          <w:szCs w:val="22"/>
        </w:rPr>
        <w:t>DiaSys response 910Vet chemistry analyzer and X-pedite HEM3 Vet hematology analyzer</w:t>
      </w:r>
      <w:r>
        <w:rPr>
          <w:rFonts w:ascii="Arial" w:hAnsi="Arial" w:cs="Arial"/>
          <w:sz w:val="22"/>
          <w:szCs w:val="22"/>
        </w:rPr>
        <w:t>.</w:t>
      </w:r>
      <w:r w:rsidRPr="00836D9D">
        <w:rPr>
          <w:rFonts w:ascii="Arial" w:hAnsi="Arial" w:cs="Arial"/>
          <w:sz w:val="22"/>
          <w:szCs w:val="22"/>
        </w:rPr>
        <w:t xml:space="preserve"> The RBL </w:t>
      </w:r>
      <w:r w:rsidR="000A2997">
        <w:rPr>
          <w:rFonts w:ascii="Arial" w:hAnsi="Arial" w:cs="Arial"/>
          <w:sz w:val="22"/>
          <w:szCs w:val="22"/>
        </w:rPr>
        <w:t>supports</w:t>
      </w:r>
      <w:r w:rsidRPr="00836D9D">
        <w:rPr>
          <w:rFonts w:ascii="Arial" w:hAnsi="Arial" w:cs="Arial"/>
          <w:sz w:val="22"/>
          <w:szCs w:val="22"/>
        </w:rPr>
        <w:t xml:space="preserve"> high throughput </w:t>
      </w:r>
      <w:r w:rsidR="000A2997">
        <w:rPr>
          <w:rFonts w:ascii="Arial" w:hAnsi="Arial" w:cs="Arial"/>
          <w:sz w:val="22"/>
          <w:szCs w:val="22"/>
        </w:rPr>
        <w:t>screening labs</w:t>
      </w:r>
      <w:r w:rsidR="000A2997" w:rsidRPr="00836D9D">
        <w:rPr>
          <w:rFonts w:ascii="Arial" w:hAnsi="Arial" w:cs="Arial"/>
          <w:sz w:val="22"/>
          <w:szCs w:val="22"/>
        </w:rPr>
        <w:t xml:space="preserve"> </w:t>
      </w:r>
      <w:r w:rsidRPr="00836D9D">
        <w:rPr>
          <w:rFonts w:ascii="Arial" w:hAnsi="Arial" w:cs="Arial"/>
          <w:sz w:val="22"/>
          <w:szCs w:val="22"/>
        </w:rPr>
        <w:t>(1-BSL2, 1-BSL3)</w:t>
      </w:r>
      <w:r w:rsidR="000A2997">
        <w:rPr>
          <w:rFonts w:ascii="Arial" w:hAnsi="Arial" w:cs="Arial"/>
          <w:sz w:val="22"/>
          <w:szCs w:val="22"/>
        </w:rPr>
        <w:t xml:space="preserve">, </w:t>
      </w:r>
      <w:r w:rsidRPr="00836D9D">
        <w:rPr>
          <w:rFonts w:ascii="Arial" w:hAnsi="Arial" w:cs="Arial"/>
          <w:sz w:val="22"/>
          <w:szCs w:val="22"/>
        </w:rPr>
        <w:t xml:space="preserve">equipped with </w:t>
      </w:r>
      <w:r w:rsidR="000A2997">
        <w:rPr>
          <w:rFonts w:ascii="Arial" w:hAnsi="Arial" w:cs="Arial"/>
          <w:sz w:val="22"/>
          <w:szCs w:val="22"/>
        </w:rPr>
        <w:t xml:space="preserve">a </w:t>
      </w:r>
      <w:r w:rsidRPr="00836D9D">
        <w:rPr>
          <w:rFonts w:ascii="Arial" w:hAnsi="Arial" w:cs="Arial"/>
          <w:sz w:val="22"/>
          <w:szCs w:val="22"/>
        </w:rPr>
        <w:t xml:space="preserve">Perkin Elmer Janus robot, MultiFlo FX and Envision readers.  </w:t>
      </w:r>
    </w:p>
    <w:p w14:paraId="4748496B" w14:textId="3A1E393B" w:rsidR="00217A87" w:rsidRPr="00836D9D" w:rsidRDefault="00217A87" w:rsidP="00EA0CE5">
      <w:pPr>
        <w:jc w:val="both"/>
        <w:rPr>
          <w:rFonts w:ascii="Arial" w:hAnsi="Arial" w:cs="Arial"/>
          <w:b/>
          <w:sz w:val="22"/>
          <w:szCs w:val="22"/>
        </w:rPr>
      </w:pPr>
    </w:p>
    <w:p w14:paraId="3B3576EC" w14:textId="77777777" w:rsidR="00217AC9" w:rsidRPr="00976474" w:rsidRDefault="005450DC" w:rsidP="0009789E">
      <w:pPr>
        <w:jc w:val="both"/>
        <w:rPr>
          <w:rFonts w:ascii="Arial" w:hAnsi="Arial" w:cs="Arial"/>
          <w:b/>
          <w:sz w:val="22"/>
          <w:szCs w:val="22"/>
        </w:rPr>
      </w:pPr>
      <w:r w:rsidRPr="00836D9D">
        <w:rPr>
          <w:rFonts w:ascii="Arial" w:hAnsi="Arial" w:cs="Arial"/>
          <w:b/>
          <w:sz w:val="22"/>
          <w:szCs w:val="22"/>
        </w:rPr>
        <w:t>Molecular Resource Center (MRC) of Excellence</w:t>
      </w:r>
      <w:r w:rsidRPr="00976474">
        <w:rPr>
          <w:rFonts w:ascii="Arial" w:hAnsi="Arial" w:cs="Arial"/>
          <w:b/>
          <w:sz w:val="22"/>
          <w:szCs w:val="22"/>
        </w:rPr>
        <w:t>; William Taylor, PhD, Director:</w:t>
      </w:r>
    </w:p>
    <w:p w14:paraId="0D20088A" w14:textId="23EF8577" w:rsidR="00982787" w:rsidRPr="00976474" w:rsidRDefault="00982787" w:rsidP="00982787">
      <w:pPr>
        <w:jc w:val="both"/>
        <w:rPr>
          <w:rFonts w:ascii="Arial" w:hAnsi="Arial" w:cs="Arial"/>
          <w:sz w:val="22"/>
          <w:szCs w:val="22"/>
        </w:rPr>
      </w:pPr>
      <w:r w:rsidRPr="00976474">
        <w:rPr>
          <w:rFonts w:ascii="Arial" w:hAnsi="Arial" w:cs="Arial"/>
          <w:sz w:val="22"/>
          <w:szCs w:val="22"/>
        </w:rPr>
        <w:t>Established in 1985, the MRC is a Tennessee Higher Education Commission (THEC)-sponsored campus resource consist</w:t>
      </w:r>
      <w:r w:rsidR="00A14600">
        <w:rPr>
          <w:rFonts w:ascii="Arial" w:hAnsi="Arial" w:cs="Arial"/>
          <w:sz w:val="22"/>
          <w:szCs w:val="22"/>
        </w:rPr>
        <w:t>ing</w:t>
      </w:r>
      <w:r w:rsidRPr="00976474">
        <w:rPr>
          <w:rFonts w:ascii="Arial" w:hAnsi="Arial" w:cs="Arial"/>
          <w:sz w:val="22"/>
          <w:szCs w:val="22"/>
        </w:rPr>
        <w:t xml:space="preserve"> of approximately 2,400 </w:t>
      </w:r>
      <w:r w:rsidR="00A14600">
        <w:rPr>
          <w:rFonts w:ascii="Arial" w:hAnsi="Arial" w:cs="Arial"/>
          <w:sz w:val="22"/>
          <w:szCs w:val="22"/>
        </w:rPr>
        <w:t>SF</w:t>
      </w:r>
      <w:r w:rsidRPr="00976474">
        <w:rPr>
          <w:rFonts w:ascii="Arial" w:hAnsi="Arial" w:cs="Arial"/>
          <w:sz w:val="22"/>
          <w:szCs w:val="22"/>
        </w:rPr>
        <w:t xml:space="preserve"> of laboratory/office/ conference room/computer server space and an additional 280 </w:t>
      </w:r>
      <w:r w:rsidR="00A14600">
        <w:rPr>
          <w:rFonts w:ascii="Arial" w:hAnsi="Arial" w:cs="Arial"/>
          <w:sz w:val="22"/>
          <w:szCs w:val="22"/>
        </w:rPr>
        <w:t>SF</w:t>
      </w:r>
      <w:r w:rsidRPr="00976474">
        <w:rPr>
          <w:rFonts w:ascii="Arial" w:hAnsi="Arial" w:cs="Arial"/>
          <w:sz w:val="22"/>
          <w:szCs w:val="22"/>
        </w:rPr>
        <w:t xml:space="preserve"> for freezers/storage in the Translational Science Research Building (TSRB), which opened in 2015. The MRC maintains several pieces of equipment available for campus-wide use, including </w:t>
      </w:r>
      <w:r w:rsidR="001362D0">
        <w:rPr>
          <w:rFonts w:ascii="Arial" w:hAnsi="Arial" w:cs="Arial"/>
          <w:sz w:val="22"/>
          <w:szCs w:val="22"/>
        </w:rPr>
        <w:t>two</w:t>
      </w:r>
      <w:r w:rsidRPr="00976474">
        <w:rPr>
          <w:rFonts w:ascii="Arial" w:hAnsi="Arial" w:cs="Arial"/>
          <w:sz w:val="22"/>
          <w:szCs w:val="22"/>
        </w:rPr>
        <w:t xml:space="preserve"> LC480 Roche LightCycler real-time PCR machines (96- and 384-well blocks), along with the complete Roche Universal Probe Library, </w:t>
      </w:r>
      <w:r w:rsidR="001362D0">
        <w:rPr>
          <w:rFonts w:ascii="Arial" w:hAnsi="Arial" w:cs="Arial"/>
          <w:sz w:val="22"/>
          <w:szCs w:val="22"/>
        </w:rPr>
        <w:t>one</w:t>
      </w:r>
      <w:r w:rsidRPr="00976474">
        <w:rPr>
          <w:rFonts w:ascii="Arial" w:hAnsi="Arial" w:cs="Arial"/>
          <w:sz w:val="22"/>
          <w:szCs w:val="22"/>
        </w:rPr>
        <w:t xml:space="preserve"> Fluidigm Biomark (96x96) real-time PCR instrument that can also be used for digital PCR, </w:t>
      </w:r>
      <w:r w:rsidR="001362D0">
        <w:rPr>
          <w:rFonts w:ascii="Arial" w:hAnsi="Arial" w:cs="Arial"/>
          <w:sz w:val="22"/>
          <w:szCs w:val="22"/>
        </w:rPr>
        <w:t>one</w:t>
      </w:r>
      <w:r w:rsidRPr="00976474">
        <w:rPr>
          <w:rFonts w:ascii="Arial" w:hAnsi="Arial" w:cs="Arial"/>
          <w:sz w:val="22"/>
          <w:szCs w:val="22"/>
        </w:rPr>
        <w:t xml:space="preserve"> ND-1000</w:t>
      </w:r>
      <w:r w:rsidR="001362D0">
        <w:rPr>
          <w:rFonts w:ascii="Arial" w:hAnsi="Arial" w:cs="Arial"/>
          <w:sz w:val="22"/>
          <w:szCs w:val="22"/>
        </w:rPr>
        <w:t>,</w:t>
      </w:r>
      <w:r w:rsidRPr="00976474">
        <w:rPr>
          <w:rFonts w:ascii="Arial" w:hAnsi="Arial" w:cs="Arial"/>
          <w:sz w:val="22"/>
          <w:szCs w:val="22"/>
        </w:rPr>
        <w:t xml:space="preserve"> and </w:t>
      </w:r>
      <w:r w:rsidR="001362D0">
        <w:rPr>
          <w:rFonts w:ascii="Arial" w:hAnsi="Arial" w:cs="Arial"/>
          <w:sz w:val="22"/>
          <w:szCs w:val="22"/>
        </w:rPr>
        <w:t>one</w:t>
      </w:r>
      <w:r w:rsidRPr="00976474">
        <w:rPr>
          <w:rFonts w:ascii="Arial" w:hAnsi="Arial" w:cs="Arial"/>
          <w:sz w:val="22"/>
          <w:szCs w:val="22"/>
        </w:rPr>
        <w:t xml:space="preserve"> ND-8000 NanoDrop spectrophotometer, a Covaris S2 series sonicator for chromatin and DNA shearing, a Qubit analyzer to quantitate nucleic acids, and two Agilent BioAnalyzers to quantitate DNA/RNA/protein and/or to measure nucleic acid quality. For automated DNA and RNA isolation</w:t>
      </w:r>
      <w:r w:rsidR="006E7BF5">
        <w:rPr>
          <w:rFonts w:ascii="Arial" w:hAnsi="Arial" w:cs="Arial"/>
          <w:sz w:val="22"/>
          <w:szCs w:val="22"/>
        </w:rPr>
        <w:t>,</w:t>
      </w:r>
      <w:r w:rsidRPr="00976474">
        <w:rPr>
          <w:rFonts w:ascii="Arial" w:hAnsi="Arial" w:cs="Arial"/>
          <w:sz w:val="22"/>
          <w:szCs w:val="22"/>
        </w:rPr>
        <w:t xml:space="preserve"> a Qiacube robot is available, which is capable of isolating DNA or RNA </w:t>
      </w:r>
      <w:r w:rsidR="006E7BF5">
        <w:rPr>
          <w:rFonts w:ascii="Arial" w:hAnsi="Arial" w:cs="Arial"/>
          <w:sz w:val="22"/>
          <w:szCs w:val="22"/>
        </w:rPr>
        <w:t xml:space="preserve">with onboard DNase treatment </w:t>
      </w:r>
      <w:r w:rsidRPr="00976474">
        <w:rPr>
          <w:rFonts w:ascii="Arial" w:hAnsi="Arial" w:cs="Arial"/>
          <w:sz w:val="22"/>
          <w:szCs w:val="22"/>
        </w:rPr>
        <w:t xml:space="preserve">from eukaryotic cells on a miniprep scale from tissue, blood and cells (96 samples per day). Sanger sequencing is provided as a fee for service through </w:t>
      </w:r>
      <w:r w:rsidR="00362519">
        <w:rPr>
          <w:rFonts w:ascii="Arial" w:hAnsi="Arial" w:cs="Arial"/>
          <w:sz w:val="22"/>
          <w:szCs w:val="22"/>
        </w:rPr>
        <w:t xml:space="preserve">Azenta (formerly </w:t>
      </w:r>
      <w:r w:rsidRPr="00976474">
        <w:rPr>
          <w:rFonts w:ascii="Arial" w:hAnsi="Arial" w:cs="Arial"/>
          <w:sz w:val="22"/>
          <w:szCs w:val="22"/>
        </w:rPr>
        <w:t>GeneWiz</w:t>
      </w:r>
      <w:r w:rsidR="00362519">
        <w:rPr>
          <w:rFonts w:ascii="Arial" w:hAnsi="Arial" w:cs="Arial"/>
          <w:sz w:val="22"/>
          <w:szCs w:val="22"/>
        </w:rPr>
        <w:t>)</w:t>
      </w:r>
      <w:r w:rsidRPr="00976474">
        <w:rPr>
          <w:rFonts w:ascii="Arial" w:hAnsi="Arial" w:cs="Arial"/>
          <w:sz w:val="22"/>
          <w:szCs w:val="22"/>
        </w:rPr>
        <w:t>. Genotyping of genetically-modified mice can be obtained through Transnetyx. Large equipment includes a 96-well fluorescence and luminescence plate reader (Biotek Flx80), a multimode colorimetric, luminescent reader (Molecular Devices Spectramax M2e) and a GenePix 4000B microarray scanner for analyzing a variety of custom slide arrays. For high-throughput technologies, an Eppendorf EPmotion liquid handling robot</w:t>
      </w:r>
      <w:r w:rsidR="00EA325C">
        <w:rPr>
          <w:rFonts w:ascii="Arial" w:hAnsi="Arial" w:cs="Arial"/>
          <w:sz w:val="22"/>
          <w:szCs w:val="22"/>
        </w:rPr>
        <w:t xml:space="preserve"> </w:t>
      </w:r>
      <w:r w:rsidRPr="00976474">
        <w:rPr>
          <w:rFonts w:ascii="Arial" w:hAnsi="Arial" w:cs="Arial"/>
          <w:sz w:val="22"/>
          <w:szCs w:val="22"/>
        </w:rPr>
        <w:t xml:space="preserve">and </w:t>
      </w:r>
      <w:r w:rsidR="005F3EC8">
        <w:rPr>
          <w:rFonts w:ascii="Arial" w:hAnsi="Arial" w:cs="Arial"/>
          <w:sz w:val="22"/>
          <w:szCs w:val="22"/>
        </w:rPr>
        <w:t>two</w:t>
      </w:r>
      <w:r w:rsidRPr="00976474">
        <w:rPr>
          <w:rFonts w:ascii="Arial" w:hAnsi="Arial" w:cs="Arial"/>
          <w:sz w:val="22"/>
          <w:szCs w:val="22"/>
        </w:rPr>
        <w:t xml:space="preserve"> MJ Tetrad 4 block thermocyclers are available. </w:t>
      </w:r>
      <w:r w:rsidR="00C345D0">
        <w:rPr>
          <w:rFonts w:ascii="Arial" w:hAnsi="Arial" w:cs="Arial"/>
          <w:sz w:val="22"/>
          <w:szCs w:val="22"/>
        </w:rPr>
        <w:t>T</w:t>
      </w:r>
      <w:r w:rsidRPr="00976474">
        <w:rPr>
          <w:rFonts w:ascii="Arial" w:hAnsi="Arial" w:cs="Arial"/>
          <w:sz w:val="22"/>
          <w:szCs w:val="22"/>
        </w:rPr>
        <w:t>he MRC maintains a fluorescence microscope (Zeiss Axiophot) for use at no charge. For large</w:t>
      </w:r>
      <w:r w:rsidR="0007101F" w:rsidRPr="00976474">
        <w:rPr>
          <w:rFonts w:ascii="Arial" w:hAnsi="Arial" w:cs="Arial"/>
          <w:sz w:val="22"/>
          <w:szCs w:val="22"/>
        </w:rPr>
        <w:t>-</w:t>
      </w:r>
      <w:r w:rsidRPr="00976474">
        <w:rPr>
          <w:rFonts w:ascii="Arial" w:hAnsi="Arial" w:cs="Arial"/>
          <w:sz w:val="22"/>
          <w:szCs w:val="22"/>
        </w:rPr>
        <w:t>scale genomic analyses, a full range of Affymetrix microarrays for gene expression and genotyping are availabl</w:t>
      </w:r>
      <w:r w:rsidR="00C345D0">
        <w:rPr>
          <w:rFonts w:ascii="Arial" w:hAnsi="Arial" w:cs="Arial"/>
          <w:sz w:val="22"/>
          <w:szCs w:val="22"/>
        </w:rPr>
        <w:t>e</w:t>
      </w:r>
      <w:r w:rsidRPr="00976474">
        <w:rPr>
          <w:rFonts w:ascii="Arial" w:hAnsi="Arial" w:cs="Arial"/>
          <w:sz w:val="22"/>
          <w:szCs w:val="22"/>
        </w:rPr>
        <w:t xml:space="preserve">. </w:t>
      </w:r>
      <w:r w:rsidR="00EA325C">
        <w:rPr>
          <w:rFonts w:ascii="Arial" w:hAnsi="Arial" w:cs="Arial"/>
          <w:sz w:val="22"/>
          <w:szCs w:val="22"/>
        </w:rPr>
        <w:t xml:space="preserve">For next generation sequencing (NGS) applications, </w:t>
      </w:r>
      <w:r w:rsidR="00362519">
        <w:rPr>
          <w:rFonts w:ascii="Arial" w:hAnsi="Arial" w:cs="Arial"/>
          <w:sz w:val="22"/>
          <w:szCs w:val="22"/>
        </w:rPr>
        <w:t>a</w:t>
      </w:r>
      <w:r w:rsidR="00955C6E">
        <w:rPr>
          <w:rFonts w:ascii="Arial" w:hAnsi="Arial" w:cs="Arial"/>
          <w:sz w:val="22"/>
          <w:szCs w:val="22"/>
        </w:rPr>
        <w:t xml:space="preserve"> </w:t>
      </w:r>
      <w:r w:rsidRPr="00976474">
        <w:rPr>
          <w:rFonts w:ascii="Arial" w:hAnsi="Arial" w:cs="Arial"/>
          <w:sz w:val="22"/>
          <w:szCs w:val="22"/>
        </w:rPr>
        <w:t xml:space="preserve"> Life Technologies Ion Proton </w:t>
      </w:r>
      <w:r w:rsidR="00955C6E">
        <w:rPr>
          <w:rFonts w:ascii="Arial" w:hAnsi="Arial" w:cs="Arial"/>
          <w:sz w:val="22"/>
          <w:szCs w:val="22"/>
        </w:rPr>
        <w:t>sequencer</w:t>
      </w:r>
      <w:r w:rsidR="00EA325C">
        <w:rPr>
          <w:rFonts w:ascii="Arial" w:hAnsi="Arial" w:cs="Arial"/>
          <w:sz w:val="22"/>
          <w:szCs w:val="22"/>
        </w:rPr>
        <w:t xml:space="preserve"> </w:t>
      </w:r>
      <w:r w:rsidRPr="00976474">
        <w:rPr>
          <w:rFonts w:ascii="Arial" w:hAnsi="Arial" w:cs="Arial"/>
          <w:sz w:val="22"/>
          <w:szCs w:val="22"/>
        </w:rPr>
        <w:t>and one Illumina NextSeq</w:t>
      </w:r>
      <w:r w:rsidR="00362519">
        <w:rPr>
          <w:rFonts w:ascii="Arial" w:hAnsi="Arial" w:cs="Arial"/>
          <w:sz w:val="22"/>
          <w:szCs w:val="22"/>
        </w:rPr>
        <w:t>2000</w:t>
      </w:r>
      <w:r w:rsidRPr="00976474">
        <w:rPr>
          <w:rFonts w:ascii="Arial" w:hAnsi="Arial" w:cs="Arial"/>
          <w:sz w:val="22"/>
          <w:szCs w:val="22"/>
        </w:rPr>
        <w:t xml:space="preserve"> sequencer are available, including sequencing of entire genomes, targeting sequencing, whole exome sequencing (WES), analysis of copy number variants (CNVs) or single nucleotide polymorphism (SNP) genotyping, SNP discovery or detecting mutations, RNA-seq, miRNA-Seq, ChIP-seq and microbiome sequencing. Libraries are prepared by MRC dedicated staff and can be produced in a high-throughput manner using the Hamilton S</w:t>
      </w:r>
      <w:r w:rsidR="00EA325C">
        <w:rPr>
          <w:rFonts w:ascii="Arial" w:hAnsi="Arial" w:cs="Arial"/>
          <w:sz w:val="22"/>
          <w:szCs w:val="22"/>
        </w:rPr>
        <w:t>TAR</w:t>
      </w:r>
      <w:r w:rsidRPr="00976474">
        <w:rPr>
          <w:rFonts w:ascii="Arial" w:hAnsi="Arial" w:cs="Arial"/>
          <w:sz w:val="22"/>
          <w:szCs w:val="22"/>
        </w:rPr>
        <w:t>let automated robotics system. For computer resources, the MRC maintains a Dell Precision T7500 server with 2 x 6 core Xeon processors (3.47GHz) and 64</w:t>
      </w:r>
      <w:r w:rsidR="006062F5">
        <w:rPr>
          <w:rFonts w:ascii="Arial" w:hAnsi="Arial" w:cs="Arial"/>
          <w:sz w:val="22"/>
          <w:szCs w:val="22"/>
        </w:rPr>
        <w:t xml:space="preserve">GB of RAM. </w:t>
      </w:r>
      <w:r w:rsidRPr="00976474">
        <w:rPr>
          <w:rFonts w:ascii="Arial" w:hAnsi="Arial" w:cs="Arial"/>
          <w:sz w:val="22"/>
          <w:szCs w:val="22"/>
        </w:rPr>
        <w:t xml:space="preserve">The MRC distributes data to users via a similar instrument with 14TB of internal storage and </w:t>
      </w:r>
      <w:r w:rsidRPr="004F1E1B">
        <w:rPr>
          <w:rFonts w:ascii="Arial" w:hAnsi="Arial" w:cs="Arial"/>
          <w:sz w:val="22"/>
          <w:szCs w:val="22"/>
        </w:rPr>
        <w:t xml:space="preserve">32TB of network attached storage. </w:t>
      </w:r>
      <w:r w:rsidR="00F363AF" w:rsidRPr="004F1E1B">
        <w:rPr>
          <w:rFonts w:ascii="Arial" w:hAnsi="Arial" w:cs="Arial"/>
          <w:sz w:val="22"/>
          <w:szCs w:val="22"/>
        </w:rPr>
        <w:t xml:space="preserve">Basic or custom analysis of next generation sequencing (NGS) data </w:t>
      </w:r>
      <w:r w:rsidRPr="004F1E1B">
        <w:rPr>
          <w:rFonts w:ascii="Arial" w:hAnsi="Arial" w:cs="Arial"/>
          <w:sz w:val="22"/>
          <w:szCs w:val="22"/>
        </w:rPr>
        <w:t>may be requested via the Molecular Bioinformatics (mBIO) core, which is also housed in Room 110 TSRB.</w:t>
      </w:r>
      <w:r w:rsidRPr="00976474">
        <w:rPr>
          <w:rFonts w:ascii="Arial" w:hAnsi="Arial" w:cs="Arial"/>
          <w:sz w:val="22"/>
          <w:szCs w:val="22"/>
        </w:rPr>
        <w:t xml:space="preserve"> </w:t>
      </w:r>
    </w:p>
    <w:p w14:paraId="20F45094" w14:textId="77777777" w:rsidR="00217AC9" w:rsidRPr="00976474" w:rsidRDefault="00217AC9" w:rsidP="0009789E">
      <w:pPr>
        <w:jc w:val="both"/>
        <w:rPr>
          <w:rFonts w:ascii="Arial" w:hAnsi="Arial" w:cs="Arial"/>
          <w:sz w:val="22"/>
          <w:szCs w:val="22"/>
        </w:rPr>
      </w:pPr>
    </w:p>
    <w:p w14:paraId="57C40B51" w14:textId="77777777" w:rsidR="006E2171" w:rsidRPr="00976474" w:rsidRDefault="00765548" w:rsidP="00FF1B71">
      <w:pPr>
        <w:pStyle w:val="Default"/>
        <w:jc w:val="both"/>
        <w:rPr>
          <w:rFonts w:ascii="Arial" w:hAnsi="Arial" w:cs="Arial"/>
          <w:b/>
          <w:color w:val="auto"/>
          <w:sz w:val="22"/>
          <w:szCs w:val="22"/>
        </w:rPr>
      </w:pPr>
      <w:r w:rsidRPr="00976474">
        <w:rPr>
          <w:rFonts w:ascii="Arial" w:hAnsi="Arial" w:cs="Arial"/>
          <w:b/>
          <w:color w:val="auto"/>
          <w:sz w:val="22"/>
          <w:szCs w:val="22"/>
        </w:rPr>
        <w:t>Molecular Bioinformatics (mBIO) Core</w:t>
      </w:r>
      <w:r w:rsidR="006E2171" w:rsidRPr="00976474">
        <w:rPr>
          <w:rFonts w:ascii="Arial" w:hAnsi="Arial" w:cs="Arial"/>
          <w:b/>
          <w:color w:val="auto"/>
          <w:sz w:val="22"/>
          <w:szCs w:val="22"/>
        </w:rPr>
        <w:t>; Daniel Johnson, PhD, Director:</w:t>
      </w:r>
    </w:p>
    <w:p w14:paraId="16F2FC31" w14:textId="78B97F7F" w:rsidR="00633016" w:rsidRDefault="00633016" w:rsidP="00633016">
      <w:pPr>
        <w:pStyle w:val="Default"/>
        <w:jc w:val="both"/>
      </w:pPr>
      <w:r>
        <w:rPr>
          <w:rFonts w:ascii="Arial" w:hAnsi="Arial" w:cs="Arial"/>
          <w:color w:val="auto"/>
          <w:sz w:val="22"/>
          <w:szCs w:val="22"/>
        </w:rPr>
        <w:t xml:space="preserve">The mBIO core was established in early 2015 with the mission </w:t>
      </w:r>
      <w:r>
        <w:rPr>
          <w:rStyle w:val="A2"/>
          <w:rFonts w:ascii="Arial" w:hAnsi="Arial" w:cs="Arial"/>
          <w:color w:val="auto"/>
          <w:sz w:val="22"/>
          <w:szCs w:val="22"/>
        </w:rPr>
        <w:t>to provide access to the latest technologies, workflows, and standards for analyzing molecular data</w:t>
      </w:r>
      <w:r>
        <w:rPr>
          <w:rFonts w:ascii="Arial" w:hAnsi="Arial" w:cs="Arial"/>
          <w:color w:val="auto"/>
          <w:sz w:val="22"/>
          <w:szCs w:val="22"/>
        </w:rPr>
        <w:t xml:space="preserve">. The mBIO Core is adjacent to the MRC and to the Proteomics and Metabolomics Core (PMC) in Suite 110 of the TSRB. Services include sequence assembly, sequence alignment, differential expression analysis, </w:t>
      </w:r>
      <w:r w:rsidR="0075053E">
        <w:rPr>
          <w:rFonts w:ascii="Arial" w:hAnsi="Arial" w:cs="Arial"/>
          <w:color w:val="auto"/>
          <w:sz w:val="22"/>
          <w:szCs w:val="22"/>
        </w:rPr>
        <w:t xml:space="preserve">SNP variance, single cell analysis, </w:t>
      </w:r>
      <w:r w:rsidR="005A1588">
        <w:rPr>
          <w:rFonts w:ascii="Arial" w:hAnsi="Arial" w:cs="Arial"/>
          <w:color w:val="auto"/>
          <w:sz w:val="22"/>
          <w:szCs w:val="22"/>
        </w:rPr>
        <w:t xml:space="preserve">and </w:t>
      </w:r>
      <w:r>
        <w:rPr>
          <w:rFonts w:ascii="Arial" w:hAnsi="Arial" w:cs="Arial"/>
          <w:color w:val="auto"/>
          <w:sz w:val="22"/>
          <w:szCs w:val="22"/>
        </w:rPr>
        <w:t>custom software designs. Expertise is also available related to protein structure/function prediction and proteomics/metabolomics. A PhD-level trained bioinformatics analys</w:t>
      </w:r>
      <w:r w:rsidR="009011CB">
        <w:rPr>
          <w:rFonts w:ascii="Arial" w:hAnsi="Arial" w:cs="Arial"/>
          <w:color w:val="auto"/>
          <w:sz w:val="22"/>
          <w:szCs w:val="22"/>
        </w:rPr>
        <w:t>t</w:t>
      </w:r>
      <w:r>
        <w:rPr>
          <w:rFonts w:ascii="Arial" w:hAnsi="Arial" w:cs="Arial"/>
          <w:color w:val="auto"/>
          <w:sz w:val="22"/>
          <w:szCs w:val="22"/>
        </w:rPr>
        <w:t xml:space="preserve"> with a statistics and molecular biology background, Dr. Daniel </w:t>
      </w:r>
      <w:r>
        <w:rPr>
          <w:rFonts w:ascii="Arial" w:hAnsi="Arial" w:cs="Arial"/>
          <w:color w:val="auto"/>
          <w:sz w:val="22"/>
          <w:szCs w:val="22"/>
        </w:rPr>
        <w:lastRenderedPageBreak/>
        <w:t xml:space="preserve">Johnson is available for PI consultation on pre-experimental design and for data analysis. All analysis services are based on a flat fee. Dr. Johnson is also available as a collaborator to create custom scripts and programming as needed. Data mining and transformation services are offered at an hourly rate. Long-term storage of raw data </w:t>
      </w:r>
      <w:r w:rsidR="005A1588">
        <w:rPr>
          <w:rFonts w:ascii="Arial" w:hAnsi="Arial" w:cs="Arial"/>
          <w:color w:val="auto"/>
          <w:sz w:val="22"/>
          <w:szCs w:val="22"/>
        </w:rPr>
        <w:t xml:space="preserve">on a local server cluster </w:t>
      </w:r>
      <w:r>
        <w:rPr>
          <w:rFonts w:ascii="Arial" w:hAnsi="Arial" w:cs="Arial"/>
          <w:color w:val="auto"/>
          <w:sz w:val="22"/>
          <w:szCs w:val="22"/>
        </w:rPr>
        <w:t>is also available as a fee for service. Dr. Johnson  maintains four custom servers to support computational analysis (4 AMD 16-core blade servers). The blade servers consist of two 16 core 4.0 GHz processors, 512 GB RAM, and 16 TB storage for each machine. The current server cluster can analyze up to 128 NGS samples simultaneously. The core offers UTHSC investigators long term mirrored storage for omics and other large data project</w:t>
      </w:r>
      <w:r w:rsidR="00606093">
        <w:rPr>
          <w:rFonts w:ascii="Arial" w:hAnsi="Arial" w:cs="Arial"/>
          <w:color w:val="auto"/>
          <w:sz w:val="22"/>
          <w:szCs w:val="22"/>
        </w:rPr>
        <w:t>s, with 90 TB of storage.</w:t>
      </w:r>
      <w:r>
        <w:rPr>
          <w:rFonts w:ascii="Arial" w:hAnsi="Arial" w:cs="Arial"/>
          <w:color w:val="auto"/>
          <w:sz w:val="22"/>
          <w:szCs w:val="22"/>
        </w:rPr>
        <w:t xml:space="preserve"> The current </w:t>
      </w:r>
      <w:r w:rsidR="004F1E1B">
        <w:rPr>
          <w:rFonts w:ascii="Arial" w:hAnsi="Arial" w:cs="Arial"/>
          <w:color w:val="auto"/>
          <w:sz w:val="22"/>
          <w:szCs w:val="22"/>
        </w:rPr>
        <w:t xml:space="preserve">server cluster can analyze up to 128 NGS samples </w:t>
      </w:r>
      <w:r w:rsidR="00DE1F0C">
        <w:rPr>
          <w:rFonts w:ascii="Arial" w:hAnsi="Arial" w:cs="Arial"/>
          <w:color w:val="auto"/>
          <w:sz w:val="22"/>
          <w:szCs w:val="22"/>
        </w:rPr>
        <w:t>simultaneously</w:t>
      </w:r>
      <w:r w:rsidR="004F1E1B">
        <w:rPr>
          <w:rFonts w:ascii="Arial" w:hAnsi="Arial" w:cs="Arial"/>
          <w:color w:val="auto"/>
          <w:sz w:val="22"/>
          <w:szCs w:val="22"/>
        </w:rPr>
        <w:t>.</w:t>
      </w:r>
      <w:r>
        <w:rPr>
          <w:rFonts w:ascii="Arial" w:hAnsi="Arial" w:cs="Arial"/>
          <w:color w:val="auto"/>
          <w:sz w:val="22"/>
          <w:szCs w:val="22"/>
        </w:rPr>
        <w:t xml:space="preserve"> The mBIO core provides access to software such as iPathway Guide, Broad Gene Set Enrichment Analysis, StringDB</w:t>
      </w:r>
      <w:r w:rsidR="005A1588">
        <w:rPr>
          <w:rFonts w:ascii="Arial" w:hAnsi="Arial" w:cs="Arial"/>
          <w:color w:val="auto"/>
          <w:sz w:val="22"/>
          <w:szCs w:val="22"/>
        </w:rPr>
        <w:t xml:space="preserve"> and institutional licenses for Prism 9.0 software</w:t>
      </w:r>
      <w:r>
        <w:rPr>
          <w:rFonts w:ascii="Arial" w:hAnsi="Arial" w:cs="Arial"/>
          <w:color w:val="auto"/>
          <w:sz w:val="22"/>
          <w:szCs w:val="22"/>
        </w:rPr>
        <w:t>. The mBIO Core also provides frequent workshops and hands-on training opportunities for PIs, postdocs, and UTHSC students interested in learning the software, analysis pipelines, and statistics needed to perform bioinformatics analysis independently.</w:t>
      </w:r>
    </w:p>
    <w:p w14:paraId="02C1AE82" w14:textId="77777777" w:rsidR="00765548" w:rsidRPr="00976474" w:rsidRDefault="00765548" w:rsidP="00765548">
      <w:pPr>
        <w:rPr>
          <w:rFonts w:ascii="Arial" w:hAnsi="Arial" w:cs="Arial"/>
          <w:sz w:val="22"/>
          <w:szCs w:val="22"/>
        </w:rPr>
      </w:pPr>
    </w:p>
    <w:p w14:paraId="5B50685F" w14:textId="5E4CB319" w:rsidR="00765548" w:rsidRPr="00976474" w:rsidRDefault="00765548" w:rsidP="00765548">
      <w:pPr>
        <w:rPr>
          <w:rFonts w:ascii="Arial" w:hAnsi="Arial" w:cs="Arial"/>
          <w:b/>
          <w:sz w:val="22"/>
          <w:szCs w:val="22"/>
        </w:rPr>
      </w:pPr>
      <w:r w:rsidRPr="00976474">
        <w:rPr>
          <w:rFonts w:ascii="Arial" w:hAnsi="Arial" w:cs="Arial"/>
          <w:b/>
          <w:sz w:val="22"/>
          <w:szCs w:val="22"/>
        </w:rPr>
        <w:t>Flow Cytometry and Flow Sorting (FCCS) Core</w:t>
      </w:r>
      <w:r w:rsidR="00C24820" w:rsidRPr="00976474">
        <w:rPr>
          <w:rFonts w:ascii="Arial" w:hAnsi="Arial" w:cs="Arial"/>
          <w:b/>
          <w:sz w:val="22"/>
          <w:szCs w:val="22"/>
        </w:rPr>
        <w:t xml:space="preserve">; </w:t>
      </w:r>
      <w:r w:rsidR="00210B65">
        <w:rPr>
          <w:rFonts w:ascii="Arial" w:hAnsi="Arial" w:cs="Arial"/>
          <w:b/>
          <w:sz w:val="22"/>
          <w:szCs w:val="22"/>
        </w:rPr>
        <w:t>Deidre Daria</w:t>
      </w:r>
      <w:r w:rsidR="00C24820" w:rsidRPr="00976474">
        <w:rPr>
          <w:rFonts w:ascii="Arial" w:hAnsi="Arial" w:cs="Arial"/>
          <w:b/>
          <w:sz w:val="22"/>
          <w:szCs w:val="22"/>
        </w:rPr>
        <w:t>, PhD, Director:</w:t>
      </w:r>
    </w:p>
    <w:p w14:paraId="2078C45A" w14:textId="6BF7DF85" w:rsidR="001A4C85" w:rsidRPr="00A26AA0" w:rsidRDefault="0056648B" w:rsidP="001A4C85">
      <w:pPr>
        <w:autoSpaceDE w:val="0"/>
        <w:autoSpaceDN w:val="0"/>
        <w:adjustRightInd w:val="0"/>
        <w:jc w:val="both"/>
        <w:rPr>
          <w:rFonts w:ascii="Arial" w:hAnsi="Arial" w:cs="Arial"/>
          <w:sz w:val="22"/>
          <w:szCs w:val="22"/>
        </w:rPr>
      </w:pPr>
      <w:r w:rsidRPr="00976474">
        <w:rPr>
          <w:rFonts w:ascii="Arial" w:hAnsi="Arial" w:cs="Arial"/>
          <w:sz w:val="22"/>
          <w:szCs w:val="22"/>
        </w:rPr>
        <w:t>Established in 2003</w:t>
      </w:r>
      <w:r w:rsidR="009D786B" w:rsidRPr="00976474">
        <w:rPr>
          <w:rFonts w:ascii="Arial" w:hAnsi="Arial" w:cs="Arial"/>
          <w:sz w:val="22"/>
          <w:szCs w:val="22"/>
        </w:rPr>
        <w:t>, the FCCS Core’s mission is to provide investigators at UTHSC and in the Memphis area with access to state-of-the-art flow cytometry and cell sorting technology</w:t>
      </w:r>
      <w:r w:rsidR="00786371">
        <w:rPr>
          <w:rFonts w:ascii="Arial" w:hAnsi="Arial" w:cs="Arial"/>
          <w:sz w:val="22"/>
          <w:szCs w:val="22"/>
        </w:rPr>
        <w:t>, instrumentation and training in flow cytometry principles</w:t>
      </w:r>
      <w:r w:rsidR="009D786B" w:rsidRPr="00976474">
        <w:rPr>
          <w:rFonts w:ascii="Arial" w:hAnsi="Arial" w:cs="Arial"/>
          <w:sz w:val="22"/>
          <w:szCs w:val="22"/>
        </w:rPr>
        <w:t xml:space="preserve">. </w:t>
      </w:r>
      <w:r w:rsidR="002F6DBE">
        <w:rPr>
          <w:rFonts w:ascii="Arial" w:hAnsi="Arial" w:cs="Arial"/>
          <w:sz w:val="22"/>
          <w:szCs w:val="22"/>
        </w:rPr>
        <w:t>L</w:t>
      </w:r>
      <w:r w:rsidR="004926A9" w:rsidRPr="00976474">
        <w:rPr>
          <w:rFonts w:ascii="Arial" w:hAnsi="Arial" w:cs="Arial"/>
          <w:sz w:val="22"/>
          <w:szCs w:val="22"/>
        </w:rPr>
        <w:t>ocated in the Molecular Sciences Building on Madison Avenue</w:t>
      </w:r>
      <w:r w:rsidR="002F6DBE">
        <w:rPr>
          <w:rFonts w:ascii="Arial" w:hAnsi="Arial" w:cs="Arial"/>
          <w:sz w:val="22"/>
          <w:szCs w:val="22"/>
        </w:rPr>
        <w:t>, t</w:t>
      </w:r>
      <w:r w:rsidR="009D786B" w:rsidRPr="00976474">
        <w:rPr>
          <w:rFonts w:ascii="Arial" w:hAnsi="Arial" w:cs="Arial"/>
          <w:sz w:val="22"/>
          <w:szCs w:val="22"/>
        </w:rPr>
        <w:t xml:space="preserve">he </w:t>
      </w:r>
      <w:r w:rsidR="005828C3">
        <w:rPr>
          <w:rFonts w:ascii="Arial" w:hAnsi="Arial" w:cs="Arial"/>
          <w:sz w:val="22"/>
          <w:szCs w:val="22"/>
        </w:rPr>
        <w:t>c</w:t>
      </w:r>
      <w:r w:rsidR="009D786B" w:rsidRPr="00976474">
        <w:rPr>
          <w:rFonts w:ascii="Arial" w:hAnsi="Arial" w:cs="Arial"/>
          <w:sz w:val="22"/>
          <w:szCs w:val="22"/>
        </w:rPr>
        <w:t xml:space="preserve">ore provides access to state-of-the-art instruments expertise, instruction, and assistance with experimental design and data analysis for multicolor flow cytometry and cell sorting, including indexed single-cell sorting. </w:t>
      </w:r>
      <w:r w:rsidR="00786371" w:rsidRPr="00976474">
        <w:rPr>
          <w:rFonts w:ascii="Arial" w:hAnsi="Arial" w:cs="Arial"/>
          <w:sz w:val="22"/>
          <w:szCs w:val="22"/>
        </w:rPr>
        <w:t xml:space="preserve">The </w:t>
      </w:r>
      <w:r w:rsidR="00786371">
        <w:rPr>
          <w:rFonts w:ascii="Arial" w:hAnsi="Arial" w:cs="Arial"/>
          <w:sz w:val="22"/>
          <w:szCs w:val="22"/>
        </w:rPr>
        <w:t xml:space="preserve">FCCS Core Flow Cytometry </w:t>
      </w:r>
      <w:r w:rsidR="005828C3">
        <w:rPr>
          <w:rFonts w:ascii="Arial" w:hAnsi="Arial" w:cs="Arial"/>
          <w:sz w:val="22"/>
          <w:szCs w:val="22"/>
        </w:rPr>
        <w:t>s</w:t>
      </w:r>
      <w:r w:rsidR="00786371">
        <w:rPr>
          <w:rFonts w:ascii="Arial" w:hAnsi="Arial" w:cs="Arial"/>
          <w:sz w:val="22"/>
          <w:szCs w:val="22"/>
        </w:rPr>
        <w:t xml:space="preserve">pecialist and </w:t>
      </w:r>
      <w:r w:rsidR="005828C3">
        <w:rPr>
          <w:rFonts w:ascii="Arial" w:hAnsi="Arial" w:cs="Arial"/>
          <w:sz w:val="22"/>
          <w:szCs w:val="22"/>
        </w:rPr>
        <w:t>c</w:t>
      </w:r>
      <w:r w:rsidR="00786371" w:rsidRPr="00976474">
        <w:rPr>
          <w:rFonts w:ascii="Arial" w:hAnsi="Arial" w:cs="Arial"/>
          <w:sz w:val="22"/>
          <w:szCs w:val="22"/>
        </w:rPr>
        <w:t xml:space="preserve">ore </w:t>
      </w:r>
      <w:r w:rsidR="005828C3">
        <w:rPr>
          <w:rFonts w:ascii="Arial" w:hAnsi="Arial" w:cs="Arial"/>
          <w:sz w:val="22"/>
          <w:szCs w:val="22"/>
        </w:rPr>
        <w:t>d</w:t>
      </w:r>
      <w:r w:rsidR="00786371" w:rsidRPr="00976474">
        <w:rPr>
          <w:rFonts w:ascii="Arial" w:hAnsi="Arial" w:cs="Arial"/>
          <w:sz w:val="22"/>
          <w:szCs w:val="22"/>
        </w:rPr>
        <w:t>irector</w:t>
      </w:r>
      <w:r w:rsidR="00786371">
        <w:rPr>
          <w:rFonts w:ascii="Arial" w:hAnsi="Arial" w:cs="Arial"/>
          <w:sz w:val="22"/>
          <w:szCs w:val="22"/>
        </w:rPr>
        <w:t xml:space="preserve"> are highly</w:t>
      </w:r>
      <w:r w:rsidR="00786371" w:rsidRPr="00976474">
        <w:rPr>
          <w:rFonts w:ascii="Arial" w:hAnsi="Arial" w:cs="Arial"/>
          <w:sz w:val="22"/>
          <w:szCs w:val="22"/>
        </w:rPr>
        <w:t xml:space="preserve"> experienced </w:t>
      </w:r>
      <w:r w:rsidR="00786371">
        <w:rPr>
          <w:rFonts w:ascii="Arial" w:hAnsi="Arial" w:cs="Arial"/>
          <w:sz w:val="22"/>
          <w:szCs w:val="22"/>
        </w:rPr>
        <w:t>in immunology,</w:t>
      </w:r>
      <w:r w:rsidR="00786371" w:rsidRPr="00976474">
        <w:rPr>
          <w:rFonts w:ascii="Arial" w:hAnsi="Arial" w:cs="Arial"/>
          <w:sz w:val="22"/>
          <w:szCs w:val="22"/>
        </w:rPr>
        <w:t xml:space="preserve"> flow cytometry</w:t>
      </w:r>
      <w:r w:rsidR="00786371">
        <w:rPr>
          <w:rFonts w:ascii="Arial" w:hAnsi="Arial" w:cs="Arial"/>
          <w:sz w:val="22"/>
          <w:szCs w:val="22"/>
        </w:rPr>
        <w:t>,</w:t>
      </w:r>
      <w:r w:rsidR="00786371" w:rsidRPr="00976474">
        <w:rPr>
          <w:rFonts w:ascii="Arial" w:hAnsi="Arial" w:cs="Arial"/>
          <w:sz w:val="22"/>
          <w:szCs w:val="22"/>
        </w:rPr>
        <w:t xml:space="preserve"> and cell sorting</w:t>
      </w:r>
      <w:r w:rsidR="00786371">
        <w:rPr>
          <w:rFonts w:ascii="Arial" w:hAnsi="Arial" w:cs="Arial"/>
          <w:sz w:val="22"/>
          <w:szCs w:val="22"/>
        </w:rPr>
        <w:t xml:space="preserve">. </w:t>
      </w:r>
      <w:r w:rsidR="00786371" w:rsidRPr="00976474">
        <w:rPr>
          <w:rFonts w:ascii="Arial" w:hAnsi="Arial" w:cs="Arial"/>
          <w:sz w:val="22"/>
          <w:szCs w:val="22"/>
        </w:rPr>
        <w:t xml:space="preserve">Services include </w:t>
      </w:r>
      <w:r w:rsidR="001A4C85">
        <w:rPr>
          <w:rFonts w:ascii="Arial" w:hAnsi="Arial" w:cs="Arial"/>
          <w:sz w:val="22"/>
          <w:szCs w:val="22"/>
        </w:rPr>
        <w:t>classes on the theory and fundamentals of flow cytometry</w:t>
      </w:r>
      <w:r w:rsidR="005828C3">
        <w:rPr>
          <w:rFonts w:ascii="Arial" w:hAnsi="Arial" w:cs="Arial"/>
          <w:sz w:val="22"/>
          <w:szCs w:val="22"/>
        </w:rPr>
        <w:t xml:space="preserve"> </w:t>
      </w:r>
      <w:r w:rsidR="001A4C85">
        <w:rPr>
          <w:rFonts w:ascii="Arial" w:hAnsi="Arial" w:cs="Arial"/>
          <w:sz w:val="22"/>
          <w:szCs w:val="22"/>
        </w:rPr>
        <w:t xml:space="preserve">(no-cost), </w:t>
      </w:r>
      <w:r w:rsidR="00786371" w:rsidRPr="00976474">
        <w:rPr>
          <w:rFonts w:ascii="Arial" w:hAnsi="Arial" w:cs="Arial"/>
          <w:sz w:val="22"/>
          <w:szCs w:val="22"/>
        </w:rPr>
        <w:t>one-on-one consultation for experimental design</w:t>
      </w:r>
      <w:r w:rsidR="005828C3">
        <w:rPr>
          <w:rFonts w:ascii="Arial" w:hAnsi="Arial" w:cs="Arial"/>
          <w:sz w:val="22"/>
          <w:szCs w:val="22"/>
        </w:rPr>
        <w:t xml:space="preserve"> (no</w:t>
      </w:r>
      <w:r w:rsidR="00663385">
        <w:rPr>
          <w:rFonts w:ascii="Arial" w:hAnsi="Arial" w:cs="Arial"/>
          <w:sz w:val="22"/>
          <w:szCs w:val="22"/>
        </w:rPr>
        <w:t>-cost)</w:t>
      </w:r>
      <w:r w:rsidR="00786371" w:rsidRPr="00976474">
        <w:rPr>
          <w:rFonts w:ascii="Arial" w:hAnsi="Arial" w:cs="Arial"/>
          <w:sz w:val="22"/>
          <w:szCs w:val="22"/>
        </w:rPr>
        <w:t xml:space="preserve">, training in </w:t>
      </w:r>
      <w:r w:rsidR="00786371">
        <w:rPr>
          <w:rFonts w:ascii="Arial" w:hAnsi="Arial" w:cs="Arial"/>
          <w:sz w:val="22"/>
          <w:szCs w:val="22"/>
        </w:rPr>
        <w:t xml:space="preserve">FCCS Core </w:t>
      </w:r>
      <w:r w:rsidR="00786371" w:rsidRPr="00976474">
        <w:rPr>
          <w:rFonts w:ascii="Arial" w:hAnsi="Arial" w:cs="Arial"/>
          <w:sz w:val="22"/>
          <w:szCs w:val="22"/>
        </w:rPr>
        <w:t>instrumentation (hourly rate),</w:t>
      </w:r>
      <w:r w:rsidR="00786371">
        <w:rPr>
          <w:rFonts w:ascii="Arial" w:hAnsi="Arial" w:cs="Arial"/>
          <w:sz w:val="22"/>
          <w:szCs w:val="22"/>
        </w:rPr>
        <w:t xml:space="preserve"> data analysis (hourly rate),</w:t>
      </w:r>
      <w:r w:rsidR="00786371" w:rsidRPr="00976474">
        <w:rPr>
          <w:rFonts w:ascii="Arial" w:hAnsi="Arial" w:cs="Arial"/>
          <w:sz w:val="22"/>
          <w:szCs w:val="22"/>
        </w:rPr>
        <w:t xml:space="preserve"> and software resources, including Diva (BD Biosciences), </w:t>
      </w:r>
      <w:r w:rsidR="001A4C85">
        <w:rPr>
          <w:rFonts w:ascii="Arial" w:hAnsi="Arial" w:cs="Arial"/>
          <w:sz w:val="22"/>
          <w:szCs w:val="22"/>
        </w:rPr>
        <w:t xml:space="preserve">SpectroFlo (Cytek), </w:t>
      </w:r>
      <w:r w:rsidR="00786371">
        <w:rPr>
          <w:rFonts w:ascii="Arial" w:hAnsi="Arial" w:cs="Arial"/>
          <w:sz w:val="22"/>
          <w:szCs w:val="22"/>
        </w:rPr>
        <w:t>Ev</w:t>
      </w:r>
      <w:r w:rsidR="000111BA">
        <w:rPr>
          <w:rFonts w:ascii="Arial" w:hAnsi="Arial" w:cs="Arial"/>
          <w:sz w:val="22"/>
          <w:szCs w:val="22"/>
        </w:rPr>
        <w:t>erest</w:t>
      </w:r>
      <w:r w:rsidR="00786371" w:rsidRPr="00976474">
        <w:rPr>
          <w:rFonts w:ascii="Arial" w:hAnsi="Arial" w:cs="Arial"/>
          <w:sz w:val="22"/>
          <w:szCs w:val="22"/>
        </w:rPr>
        <w:t xml:space="preserve"> (</w:t>
      </w:r>
      <w:r w:rsidR="00786371">
        <w:rPr>
          <w:rFonts w:ascii="Arial" w:hAnsi="Arial" w:cs="Arial"/>
          <w:sz w:val="22"/>
          <w:szCs w:val="22"/>
        </w:rPr>
        <w:t>Bio-Rad</w:t>
      </w:r>
      <w:r w:rsidR="00786371" w:rsidRPr="00976474">
        <w:rPr>
          <w:rFonts w:ascii="Arial" w:hAnsi="Arial" w:cs="Arial"/>
          <w:sz w:val="22"/>
          <w:szCs w:val="22"/>
        </w:rPr>
        <w:t>)</w:t>
      </w:r>
      <w:r w:rsidR="00786371">
        <w:rPr>
          <w:rFonts w:ascii="Arial" w:hAnsi="Arial" w:cs="Arial"/>
          <w:sz w:val="22"/>
          <w:szCs w:val="22"/>
        </w:rPr>
        <w:t>, ModFit (Verity)</w:t>
      </w:r>
      <w:r w:rsidR="00786371" w:rsidRPr="00976474">
        <w:rPr>
          <w:rFonts w:ascii="Arial" w:hAnsi="Arial" w:cs="Arial"/>
          <w:sz w:val="22"/>
          <w:szCs w:val="22"/>
        </w:rPr>
        <w:t xml:space="preserve"> and FlowJo</w:t>
      </w:r>
      <w:r w:rsidR="00786371">
        <w:rPr>
          <w:rFonts w:ascii="Arial" w:hAnsi="Arial" w:cs="Arial"/>
          <w:sz w:val="22"/>
          <w:szCs w:val="22"/>
        </w:rPr>
        <w:t xml:space="preserve"> (BD Biosciences)</w:t>
      </w:r>
      <w:r w:rsidR="00786371" w:rsidRPr="00976474">
        <w:rPr>
          <w:rFonts w:ascii="Arial" w:hAnsi="Arial" w:cs="Arial"/>
          <w:sz w:val="22"/>
          <w:szCs w:val="22"/>
        </w:rPr>
        <w:t xml:space="preserve">. </w:t>
      </w:r>
      <w:r w:rsidR="00786371">
        <w:rPr>
          <w:rStyle w:val="A0"/>
          <w:rFonts w:ascii="Arial" w:hAnsi="Arial" w:cs="Arial"/>
          <w:color w:val="auto"/>
          <w:sz w:val="22"/>
          <w:szCs w:val="22"/>
        </w:rPr>
        <w:t xml:space="preserve">The FCCS Core maintains </w:t>
      </w:r>
      <w:r w:rsidR="00786371" w:rsidRPr="00976474">
        <w:rPr>
          <w:rStyle w:val="A0"/>
          <w:rFonts w:ascii="Arial" w:hAnsi="Arial" w:cs="Arial"/>
          <w:color w:val="auto"/>
          <w:sz w:val="22"/>
          <w:szCs w:val="22"/>
        </w:rPr>
        <w:t xml:space="preserve">a high-performance </w:t>
      </w:r>
      <w:r w:rsidR="00786371">
        <w:rPr>
          <w:rStyle w:val="A0"/>
          <w:rFonts w:ascii="Arial" w:hAnsi="Arial" w:cs="Arial"/>
          <w:color w:val="auto"/>
          <w:sz w:val="22"/>
          <w:szCs w:val="22"/>
        </w:rPr>
        <w:t xml:space="preserve">Bio-Rad ZE5 flow cytometer with four lasers and </w:t>
      </w:r>
      <w:r w:rsidR="00786371" w:rsidRPr="00976474">
        <w:rPr>
          <w:rStyle w:val="A0"/>
          <w:rFonts w:ascii="Arial" w:hAnsi="Arial" w:cs="Arial"/>
          <w:color w:val="auto"/>
          <w:sz w:val="22"/>
          <w:szCs w:val="22"/>
        </w:rPr>
        <w:t>21-fluorescence parameter</w:t>
      </w:r>
      <w:r w:rsidR="00786371">
        <w:rPr>
          <w:rStyle w:val="A0"/>
          <w:rFonts w:ascii="Arial" w:hAnsi="Arial" w:cs="Arial"/>
          <w:color w:val="auto"/>
          <w:sz w:val="22"/>
          <w:szCs w:val="22"/>
        </w:rPr>
        <w:t xml:space="preserve"> detection in </w:t>
      </w:r>
      <w:r w:rsidR="00786371" w:rsidRPr="00976474">
        <w:rPr>
          <w:rStyle w:val="A0"/>
          <w:rFonts w:ascii="Arial" w:hAnsi="Arial" w:cs="Arial"/>
          <w:color w:val="auto"/>
          <w:sz w:val="22"/>
          <w:szCs w:val="22"/>
        </w:rPr>
        <w:t>a 4-7-7-3 configuration for blue, green, violet, and red lasers, respectively</w:t>
      </w:r>
      <w:r w:rsidR="00786371">
        <w:rPr>
          <w:rStyle w:val="A0"/>
          <w:rFonts w:ascii="Arial" w:hAnsi="Arial" w:cs="Arial"/>
          <w:color w:val="auto"/>
          <w:sz w:val="22"/>
          <w:szCs w:val="22"/>
        </w:rPr>
        <w:t xml:space="preserve">. The ZE5 cytometer is </w:t>
      </w:r>
      <w:r w:rsidR="00786371" w:rsidRPr="00976474">
        <w:rPr>
          <w:rStyle w:val="A0"/>
          <w:rFonts w:ascii="Arial" w:hAnsi="Arial" w:cs="Arial"/>
          <w:color w:val="auto"/>
          <w:sz w:val="22"/>
          <w:szCs w:val="22"/>
        </w:rPr>
        <w:t>highly automated</w:t>
      </w:r>
      <w:r w:rsidR="00786371">
        <w:rPr>
          <w:rStyle w:val="A0"/>
          <w:rFonts w:ascii="Arial" w:hAnsi="Arial" w:cs="Arial"/>
          <w:color w:val="auto"/>
          <w:sz w:val="22"/>
          <w:szCs w:val="22"/>
        </w:rPr>
        <w:t xml:space="preserve"> with programmable</w:t>
      </w:r>
      <w:r w:rsidR="00786371" w:rsidRPr="00976474">
        <w:rPr>
          <w:rStyle w:val="A0"/>
          <w:rFonts w:ascii="Arial" w:hAnsi="Arial" w:cs="Arial"/>
          <w:color w:val="auto"/>
          <w:sz w:val="22"/>
          <w:szCs w:val="22"/>
        </w:rPr>
        <w:t xml:space="preserve"> </w:t>
      </w:r>
      <w:r w:rsidR="00786371">
        <w:rPr>
          <w:rStyle w:val="A0"/>
          <w:rFonts w:ascii="Arial" w:hAnsi="Arial" w:cs="Arial"/>
          <w:color w:val="auto"/>
          <w:sz w:val="22"/>
          <w:szCs w:val="22"/>
        </w:rPr>
        <w:t>sample collection</w:t>
      </w:r>
      <w:r w:rsidR="00786371" w:rsidRPr="00976474">
        <w:rPr>
          <w:rStyle w:val="A0"/>
          <w:rFonts w:ascii="Arial" w:hAnsi="Arial" w:cs="Arial"/>
          <w:color w:val="auto"/>
          <w:sz w:val="22"/>
          <w:szCs w:val="22"/>
        </w:rPr>
        <w:t xml:space="preserve"> and </w:t>
      </w:r>
      <w:r w:rsidR="00786371">
        <w:rPr>
          <w:rStyle w:val="A0"/>
          <w:rFonts w:ascii="Arial" w:hAnsi="Arial" w:cs="Arial"/>
          <w:color w:val="auto"/>
          <w:sz w:val="22"/>
          <w:szCs w:val="22"/>
        </w:rPr>
        <w:t xml:space="preserve">includes a small particle FALS detector for </w:t>
      </w:r>
      <w:r w:rsidR="00786371" w:rsidRPr="00976474">
        <w:rPr>
          <w:rStyle w:val="A0"/>
          <w:rFonts w:ascii="Arial" w:hAnsi="Arial" w:cs="Arial"/>
          <w:color w:val="auto"/>
          <w:sz w:val="22"/>
          <w:szCs w:val="22"/>
        </w:rPr>
        <w:t>exosomes, subc</w:t>
      </w:r>
      <w:r w:rsidR="00786371">
        <w:rPr>
          <w:rStyle w:val="A0"/>
          <w:rFonts w:ascii="Arial" w:hAnsi="Arial" w:cs="Arial"/>
          <w:color w:val="auto"/>
          <w:sz w:val="22"/>
          <w:szCs w:val="22"/>
        </w:rPr>
        <w:t xml:space="preserve">ellular particles, and bacteria off the violet laser in addition to </w:t>
      </w:r>
      <w:r w:rsidR="00786371" w:rsidRPr="00976474">
        <w:rPr>
          <w:rStyle w:val="A0"/>
          <w:rFonts w:ascii="Arial" w:hAnsi="Arial" w:cs="Arial"/>
          <w:color w:val="auto"/>
          <w:sz w:val="22"/>
          <w:szCs w:val="22"/>
        </w:rPr>
        <w:t>standard FSC and SSC light detection</w:t>
      </w:r>
      <w:r w:rsidR="00786371">
        <w:rPr>
          <w:rStyle w:val="A0"/>
          <w:rFonts w:ascii="Arial" w:hAnsi="Arial" w:cs="Arial"/>
          <w:color w:val="auto"/>
          <w:sz w:val="22"/>
          <w:szCs w:val="22"/>
        </w:rPr>
        <w:t xml:space="preserve"> off the blue laser</w:t>
      </w:r>
      <w:r w:rsidR="00786371" w:rsidRPr="00976474">
        <w:rPr>
          <w:rStyle w:val="A0"/>
          <w:rFonts w:ascii="Arial" w:hAnsi="Arial" w:cs="Arial"/>
          <w:color w:val="auto"/>
          <w:sz w:val="22"/>
          <w:szCs w:val="22"/>
        </w:rPr>
        <w:t xml:space="preserve">. </w:t>
      </w:r>
      <w:r w:rsidR="00786371" w:rsidRPr="00976474">
        <w:rPr>
          <w:rFonts w:ascii="Arial" w:hAnsi="Arial" w:cs="Arial"/>
          <w:sz w:val="22"/>
          <w:szCs w:val="22"/>
        </w:rPr>
        <w:t xml:space="preserve">The </w:t>
      </w:r>
      <w:r w:rsidR="00663385">
        <w:rPr>
          <w:rFonts w:ascii="Arial" w:hAnsi="Arial" w:cs="Arial"/>
          <w:sz w:val="22"/>
          <w:szCs w:val="22"/>
        </w:rPr>
        <w:t>c</w:t>
      </w:r>
      <w:r w:rsidR="00786371" w:rsidRPr="00976474">
        <w:rPr>
          <w:rFonts w:ascii="Arial" w:hAnsi="Arial" w:cs="Arial"/>
          <w:sz w:val="22"/>
          <w:szCs w:val="22"/>
        </w:rPr>
        <w:t xml:space="preserve">ore </w:t>
      </w:r>
      <w:r w:rsidR="00786371">
        <w:rPr>
          <w:rFonts w:ascii="Arial" w:hAnsi="Arial" w:cs="Arial"/>
          <w:sz w:val="22"/>
          <w:szCs w:val="22"/>
        </w:rPr>
        <w:t xml:space="preserve">also </w:t>
      </w:r>
      <w:r w:rsidR="00786371" w:rsidRPr="00976474">
        <w:rPr>
          <w:rFonts w:ascii="Arial" w:hAnsi="Arial" w:cs="Arial"/>
          <w:sz w:val="22"/>
          <w:szCs w:val="22"/>
        </w:rPr>
        <w:t xml:space="preserve">maintains a </w:t>
      </w:r>
      <w:r w:rsidR="00786371" w:rsidRPr="00976474">
        <w:rPr>
          <w:rStyle w:val="A0"/>
          <w:rFonts w:ascii="Arial" w:hAnsi="Arial" w:cs="Arial"/>
          <w:bCs/>
          <w:color w:val="auto"/>
          <w:sz w:val="22"/>
          <w:szCs w:val="22"/>
        </w:rPr>
        <w:t>BD Biosciences FACSAria II</w:t>
      </w:r>
      <w:r w:rsidR="00786371">
        <w:rPr>
          <w:rStyle w:val="A0"/>
          <w:rFonts w:ascii="Arial" w:hAnsi="Arial" w:cs="Arial"/>
          <w:bCs/>
          <w:color w:val="auto"/>
          <w:sz w:val="22"/>
          <w:szCs w:val="22"/>
        </w:rPr>
        <w:t>u</w:t>
      </w:r>
      <w:r w:rsidR="00786371" w:rsidRPr="00976474">
        <w:rPr>
          <w:rStyle w:val="A0"/>
          <w:rFonts w:ascii="Arial" w:hAnsi="Arial" w:cs="Arial"/>
          <w:b/>
          <w:bCs/>
          <w:color w:val="auto"/>
          <w:sz w:val="22"/>
          <w:szCs w:val="22"/>
        </w:rPr>
        <w:t xml:space="preserve"> </w:t>
      </w:r>
      <w:r w:rsidR="00786371" w:rsidRPr="00976474">
        <w:rPr>
          <w:rStyle w:val="A0"/>
          <w:rFonts w:ascii="Arial" w:hAnsi="Arial" w:cs="Arial"/>
          <w:color w:val="auto"/>
          <w:sz w:val="22"/>
          <w:szCs w:val="22"/>
        </w:rPr>
        <w:t>cell sorter equipped with four lasers and 12 fluorescence detectors</w:t>
      </w:r>
      <w:r w:rsidR="00786371">
        <w:rPr>
          <w:rStyle w:val="A0"/>
          <w:rFonts w:ascii="Arial" w:hAnsi="Arial" w:cs="Arial"/>
          <w:color w:val="auto"/>
          <w:sz w:val="22"/>
          <w:szCs w:val="22"/>
        </w:rPr>
        <w:t xml:space="preserve"> in a 5-2-3-2 configuration for blue, violet, red, and UV lasers, respectively</w:t>
      </w:r>
      <w:r w:rsidR="00786371" w:rsidRPr="00976474">
        <w:rPr>
          <w:rStyle w:val="A0"/>
          <w:rFonts w:ascii="Arial" w:hAnsi="Arial" w:cs="Arial"/>
          <w:color w:val="auto"/>
          <w:sz w:val="22"/>
          <w:szCs w:val="22"/>
        </w:rPr>
        <w:t>, in addition to forward (FSC) and side (SSC) scatter detectors</w:t>
      </w:r>
      <w:r w:rsidR="00786371">
        <w:rPr>
          <w:rStyle w:val="A0"/>
          <w:rFonts w:ascii="Arial" w:hAnsi="Arial" w:cs="Arial"/>
          <w:color w:val="auto"/>
          <w:sz w:val="22"/>
          <w:szCs w:val="22"/>
        </w:rPr>
        <w:t xml:space="preserve"> off the blue laser</w:t>
      </w:r>
      <w:r w:rsidR="00786371" w:rsidRPr="00976474">
        <w:rPr>
          <w:rStyle w:val="A0"/>
          <w:rFonts w:ascii="Arial" w:hAnsi="Arial" w:cs="Arial"/>
          <w:color w:val="auto"/>
          <w:sz w:val="22"/>
          <w:szCs w:val="22"/>
        </w:rPr>
        <w:t>. The sorter has two-and four-way sort capability into tubes or microtubes. The sorter is also equipped for indexed, single-cell sorting or multiple cell sorting into microwell plates or onto microscope slides. The sorter has temperature</w:t>
      </w:r>
      <w:r w:rsidR="00786371">
        <w:rPr>
          <w:rStyle w:val="A0"/>
          <w:rFonts w:ascii="Arial" w:hAnsi="Arial" w:cs="Arial"/>
          <w:color w:val="auto"/>
          <w:sz w:val="22"/>
          <w:szCs w:val="22"/>
        </w:rPr>
        <w:t>-</w:t>
      </w:r>
      <w:r w:rsidR="00786371" w:rsidRPr="00976474">
        <w:rPr>
          <w:rStyle w:val="A0"/>
          <w:rFonts w:ascii="Arial" w:hAnsi="Arial" w:cs="Arial"/>
          <w:color w:val="auto"/>
          <w:sz w:val="22"/>
          <w:szCs w:val="22"/>
        </w:rPr>
        <w:t xml:space="preserve">controlled sample injection and collection chambers </w:t>
      </w:r>
      <w:r w:rsidR="00786371">
        <w:rPr>
          <w:rStyle w:val="A0"/>
          <w:rFonts w:ascii="Arial" w:hAnsi="Arial" w:cs="Arial"/>
          <w:color w:val="auto"/>
          <w:sz w:val="22"/>
          <w:szCs w:val="22"/>
        </w:rPr>
        <w:t>and aerosol</w:t>
      </w:r>
      <w:r w:rsidR="00786371" w:rsidRPr="00976474">
        <w:rPr>
          <w:rStyle w:val="A0"/>
          <w:rFonts w:ascii="Arial" w:hAnsi="Arial" w:cs="Arial"/>
          <w:color w:val="auto"/>
          <w:sz w:val="22"/>
          <w:szCs w:val="22"/>
        </w:rPr>
        <w:t xml:space="preserve"> (BSL2) containment</w:t>
      </w:r>
      <w:r w:rsidR="00FF5BCB" w:rsidRPr="00976474">
        <w:rPr>
          <w:rStyle w:val="A0"/>
          <w:rFonts w:ascii="Arial" w:hAnsi="Arial" w:cs="Arial"/>
          <w:color w:val="auto"/>
          <w:sz w:val="22"/>
          <w:szCs w:val="22"/>
        </w:rPr>
        <w:t>.</w:t>
      </w:r>
      <w:r w:rsidR="00AD4165">
        <w:rPr>
          <w:rFonts w:ascii="Arial" w:hAnsi="Arial" w:cs="Arial"/>
          <w:sz w:val="22"/>
          <w:szCs w:val="22"/>
        </w:rPr>
        <w:t xml:space="preserve"> </w:t>
      </w:r>
      <w:r w:rsidR="001A4C85" w:rsidRPr="00A26AA0">
        <w:rPr>
          <w:rFonts w:ascii="Arial" w:hAnsi="Arial" w:cs="Arial"/>
          <w:sz w:val="22"/>
          <w:szCs w:val="22"/>
        </w:rPr>
        <w:t>An S10 award for a new Cytek Aurora CS spectral sorter (</w:t>
      </w:r>
      <w:r w:rsidR="001A4C85" w:rsidRPr="00BB7071">
        <w:rPr>
          <w:rFonts w:ascii="Arial" w:hAnsi="Arial" w:cs="Arial"/>
          <w:sz w:val="22"/>
          <w:szCs w:val="22"/>
        </w:rPr>
        <w:t>5 laser, 64 fluorescence and 3 scatter detectors,</w:t>
      </w:r>
      <w:r w:rsidR="001A4C85">
        <w:rPr>
          <w:rFonts w:ascii="Arial" w:hAnsi="Arial" w:cs="Arial"/>
          <w:sz w:val="22"/>
          <w:szCs w:val="22"/>
        </w:rPr>
        <w:t xml:space="preserve"> </w:t>
      </w:r>
      <w:r w:rsidR="001A4C85" w:rsidRPr="00BB7071">
        <w:rPr>
          <w:rFonts w:ascii="Arial" w:hAnsi="Arial" w:cs="Arial"/>
          <w:sz w:val="22"/>
          <w:szCs w:val="22"/>
        </w:rPr>
        <w:t>6-way sorting</w:t>
      </w:r>
      <w:r w:rsidR="001A4C85" w:rsidRPr="00A26AA0">
        <w:rPr>
          <w:rFonts w:ascii="Arial" w:hAnsi="Arial" w:cs="Arial"/>
          <w:sz w:val="22"/>
          <w:szCs w:val="22"/>
        </w:rPr>
        <w:t xml:space="preserve">) is currently in the negotiation phase, with </w:t>
      </w:r>
      <w:r w:rsidR="001A4C85">
        <w:rPr>
          <w:rFonts w:ascii="Arial" w:hAnsi="Arial" w:cs="Arial"/>
          <w:sz w:val="22"/>
          <w:szCs w:val="22"/>
        </w:rPr>
        <w:t xml:space="preserve">an </w:t>
      </w:r>
      <w:r w:rsidR="001A4C85" w:rsidRPr="00A26AA0">
        <w:rPr>
          <w:rFonts w:ascii="Arial" w:hAnsi="Arial" w:cs="Arial"/>
          <w:sz w:val="22"/>
          <w:szCs w:val="22"/>
        </w:rPr>
        <w:t xml:space="preserve">estimated onboarding in </w:t>
      </w:r>
      <w:r w:rsidR="00921A12">
        <w:rPr>
          <w:rFonts w:ascii="Arial" w:hAnsi="Arial" w:cs="Arial"/>
          <w:sz w:val="22"/>
          <w:szCs w:val="22"/>
        </w:rPr>
        <w:t>f</w:t>
      </w:r>
      <w:r w:rsidR="001A4C85" w:rsidRPr="00A26AA0">
        <w:rPr>
          <w:rFonts w:ascii="Arial" w:hAnsi="Arial" w:cs="Arial"/>
          <w:sz w:val="22"/>
          <w:szCs w:val="22"/>
        </w:rPr>
        <w:t xml:space="preserve">all 2023. </w:t>
      </w:r>
      <w:r w:rsidR="001A4C85">
        <w:rPr>
          <w:rFonts w:ascii="Arial" w:hAnsi="Arial" w:cs="Arial"/>
          <w:sz w:val="22"/>
          <w:szCs w:val="22"/>
        </w:rPr>
        <w:t>The FCCS Core also assists with BSL2/BSL3 flow cytometry and cell sorting services in the Regional Biocontainment Laboratory (RBL). The RBL maintains a Miltenyi Tyto low pressure, disposable, chip-based cell sorter and a Cytek Aurora Spectral Analyzer.</w:t>
      </w:r>
    </w:p>
    <w:p w14:paraId="36C0F8BB" w14:textId="5ADC77F1" w:rsidR="00C46082" w:rsidRPr="00A26AA0" w:rsidRDefault="00AD4165" w:rsidP="00F123A6">
      <w:pPr>
        <w:autoSpaceDE w:val="0"/>
        <w:autoSpaceDN w:val="0"/>
        <w:adjustRightInd w:val="0"/>
        <w:jc w:val="both"/>
        <w:rPr>
          <w:rFonts w:ascii="Arial" w:hAnsi="Arial" w:cs="Arial"/>
          <w:sz w:val="22"/>
          <w:szCs w:val="22"/>
        </w:rPr>
      </w:pPr>
      <w:r w:rsidRPr="00A26AA0">
        <w:rPr>
          <w:rFonts w:ascii="Arial" w:hAnsi="Arial" w:cs="Arial"/>
          <w:sz w:val="22"/>
          <w:szCs w:val="22"/>
        </w:rPr>
        <w:t xml:space="preserve"> </w:t>
      </w:r>
    </w:p>
    <w:p w14:paraId="2412DDD9" w14:textId="77777777" w:rsidR="009D786B" w:rsidRPr="00976474" w:rsidRDefault="009D786B" w:rsidP="0009789E">
      <w:pPr>
        <w:jc w:val="both"/>
        <w:rPr>
          <w:rFonts w:ascii="Arial" w:hAnsi="Arial" w:cs="Arial"/>
          <w:b/>
          <w:sz w:val="22"/>
          <w:szCs w:val="22"/>
        </w:rPr>
      </w:pPr>
    </w:p>
    <w:p w14:paraId="02D5A55A" w14:textId="77777777" w:rsidR="00217AC9" w:rsidRPr="00976474" w:rsidRDefault="00217AC9" w:rsidP="0009789E">
      <w:pPr>
        <w:jc w:val="both"/>
        <w:rPr>
          <w:rFonts w:ascii="Arial" w:hAnsi="Arial" w:cs="Arial"/>
          <w:b/>
          <w:sz w:val="22"/>
          <w:szCs w:val="22"/>
        </w:rPr>
      </w:pPr>
      <w:r w:rsidRPr="00976474">
        <w:rPr>
          <w:rFonts w:ascii="Arial" w:hAnsi="Arial" w:cs="Arial"/>
          <w:b/>
          <w:sz w:val="22"/>
          <w:szCs w:val="22"/>
        </w:rPr>
        <w:t>Proteomics and Metabolomics Core (PMC)</w:t>
      </w:r>
      <w:r w:rsidR="000F32D5" w:rsidRPr="00976474">
        <w:rPr>
          <w:rFonts w:ascii="Arial" w:hAnsi="Arial" w:cs="Arial"/>
          <w:b/>
          <w:sz w:val="22"/>
          <w:szCs w:val="22"/>
        </w:rPr>
        <w:t>; David Ka</w:t>
      </w:r>
      <w:r w:rsidR="009C3426" w:rsidRPr="00976474">
        <w:rPr>
          <w:rFonts w:ascii="Arial" w:hAnsi="Arial" w:cs="Arial"/>
          <w:b/>
          <w:sz w:val="22"/>
          <w:szCs w:val="22"/>
        </w:rPr>
        <w:t>khniash</w:t>
      </w:r>
      <w:r w:rsidR="000F32D5" w:rsidRPr="00976474">
        <w:rPr>
          <w:rFonts w:ascii="Arial" w:hAnsi="Arial" w:cs="Arial"/>
          <w:b/>
          <w:sz w:val="22"/>
          <w:szCs w:val="22"/>
        </w:rPr>
        <w:t>vili, PhD, Director:</w:t>
      </w:r>
    </w:p>
    <w:p w14:paraId="51E229B9" w14:textId="20C53DC2" w:rsidR="0079667C" w:rsidRDefault="004A02A4" w:rsidP="006A0652">
      <w:pPr>
        <w:jc w:val="both"/>
        <w:rPr>
          <w:rFonts w:ascii="Arial" w:hAnsi="Arial" w:cs="Arial"/>
          <w:sz w:val="22"/>
          <w:szCs w:val="22"/>
        </w:rPr>
      </w:pPr>
      <w:r w:rsidRPr="00976474">
        <w:rPr>
          <w:rFonts w:ascii="Arial" w:hAnsi="Arial" w:cs="Arial"/>
          <w:sz w:val="22"/>
          <w:szCs w:val="22"/>
        </w:rPr>
        <w:t>Established in 2015, t</w:t>
      </w:r>
      <w:r w:rsidR="007046A7" w:rsidRPr="00976474">
        <w:rPr>
          <w:rFonts w:ascii="Arial" w:hAnsi="Arial" w:cs="Arial"/>
          <w:sz w:val="22"/>
          <w:szCs w:val="22"/>
        </w:rPr>
        <w:t>he PMC’s mission is to provide the UTHSC community with state-of-the-art mass spectral technology and support to facilitate molecular-level discoveries that transform and advance our understanding of biological systems to solve challenging, relevant scientific questions in the life sciences</w:t>
      </w:r>
      <w:r w:rsidR="004E0E36" w:rsidRPr="00976474">
        <w:rPr>
          <w:rFonts w:ascii="Arial" w:hAnsi="Arial" w:cs="Arial"/>
          <w:sz w:val="22"/>
          <w:szCs w:val="22"/>
        </w:rPr>
        <w:t>. The PMC is in Suite 110 of the TSRB.</w:t>
      </w:r>
      <w:r w:rsidR="007046A7" w:rsidRPr="00976474">
        <w:rPr>
          <w:rFonts w:ascii="Arial" w:hAnsi="Arial" w:cs="Arial"/>
          <w:sz w:val="22"/>
          <w:szCs w:val="22"/>
        </w:rPr>
        <w:t xml:space="preserve"> </w:t>
      </w:r>
      <w:r w:rsidR="00D413FB" w:rsidRPr="00976474">
        <w:rPr>
          <w:rFonts w:ascii="Arial" w:hAnsi="Arial" w:cs="Arial"/>
          <w:sz w:val="22"/>
          <w:szCs w:val="22"/>
        </w:rPr>
        <w:t>The PMC provides consultations to optimize experiment design and to interpret generated data. Services include identification of individual proteins in simple and highly complex protein mixtures, identification and mapping of posttranslational and other modifications of proteins, differential protein expression analysis based on precursor ion quantification (SILAC, dimethyl labelling), reporter ion quantification (iTRAQ/TMT labelling), and precursor ion area detection (label-free analysis), analysis of protein-protein interactions, and determination of the molecular masses of analytes.</w:t>
      </w:r>
      <w:r w:rsidRPr="00976474">
        <w:rPr>
          <w:rFonts w:ascii="Arial" w:hAnsi="Arial" w:cs="Arial"/>
          <w:sz w:val="22"/>
          <w:szCs w:val="22"/>
        </w:rPr>
        <w:t xml:space="preserve"> The </w:t>
      </w:r>
      <w:r w:rsidR="00E96E0F">
        <w:rPr>
          <w:rFonts w:ascii="Arial" w:hAnsi="Arial" w:cs="Arial"/>
          <w:sz w:val="22"/>
          <w:szCs w:val="22"/>
        </w:rPr>
        <w:t>c</w:t>
      </w:r>
      <w:r w:rsidRPr="00976474">
        <w:rPr>
          <w:rFonts w:ascii="Arial" w:hAnsi="Arial" w:cs="Arial"/>
          <w:sz w:val="22"/>
          <w:szCs w:val="22"/>
        </w:rPr>
        <w:t xml:space="preserve">ore is equipped with a Thermo </w:t>
      </w:r>
      <w:r w:rsidR="00104ED4">
        <w:rPr>
          <w:rFonts w:ascii="Arial" w:hAnsi="Arial" w:cs="Arial"/>
          <w:sz w:val="22"/>
          <w:szCs w:val="22"/>
        </w:rPr>
        <w:t xml:space="preserve">Fisher </w:t>
      </w:r>
      <w:r w:rsidRPr="00976474">
        <w:rPr>
          <w:rFonts w:ascii="Arial" w:hAnsi="Arial" w:cs="Arial"/>
          <w:bCs/>
          <w:sz w:val="22"/>
          <w:szCs w:val="22"/>
        </w:rPr>
        <w:t xml:space="preserve">Orbitrap Fusion Lumos mass spectrometer </w:t>
      </w:r>
      <w:r w:rsidRPr="00976474">
        <w:rPr>
          <w:rFonts w:ascii="Arial" w:hAnsi="Arial" w:cs="Arial"/>
          <w:sz w:val="22"/>
          <w:szCs w:val="22"/>
        </w:rPr>
        <w:t>- a tribrid mass spectrometer combining a Quadrupole, a Dual Linear Ion Trap, and an Orbitrap mass analyzers able to perform CID, HCD, or ETD fragmentation, operate in parallel mode, and provide excellent resolution (500,000 FWHM @m/z 200), accuracy (1 ppm), sensitivity (quantification of 1 attomole at CV&lt;15%), and high scan rate (20 Hz). The instrument operates in line with an ultra- HPLC system- Ultimate 3000RSLC</w:t>
      </w:r>
      <w:r w:rsidR="00104ED4">
        <w:rPr>
          <w:rFonts w:ascii="Arial" w:hAnsi="Arial" w:cs="Arial"/>
          <w:sz w:val="22"/>
          <w:szCs w:val="22"/>
        </w:rPr>
        <w:t>n</w:t>
      </w:r>
      <w:r w:rsidRPr="00976474">
        <w:rPr>
          <w:rFonts w:ascii="Arial" w:hAnsi="Arial" w:cs="Arial"/>
          <w:sz w:val="22"/>
          <w:szCs w:val="22"/>
        </w:rPr>
        <w:t xml:space="preserve">ano for nano-flow applications or Vanquish for micro-flow applications. The </w:t>
      </w:r>
      <w:r w:rsidRPr="00976474">
        <w:rPr>
          <w:rFonts w:ascii="Arial" w:hAnsi="Arial" w:cs="Arial"/>
          <w:sz w:val="22"/>
          <w:szCs w:val="22"/>
        </w:rPr>
        <w:lastRenderedPageBreak/>
        <w:t xml:space="preserve">software tools for system operation/data acquisition and post-acquisition analysis of raw MS data include </w:t>
      </w:r>
      <w:r w:rsidRPr="00976474">
        <w:rPr>
          <w:rFonts w:ascii="Arial" w:hAnsi="Arial" w:cs="Arial"/>
          <w:bCs/>
          <w:sz w:val="22"/>
          <w:szCs w:val="22"/>
        </w:rPr>
        <w:t>Xcalibur/SII 4.</w:t>
      </w:r>
      <w:r w:rsidR="00A876A3">
        <w:rPr>
          <w:rFonts w:ascii="Arial" w:hAnsi="Arial" w:cs="Arial"/>
          <w:bCs/>
          <w:sz w:val="22"/>
          <w:szCs w:val="22"/>
        </w:rPr>
        <w:t>3</w:t>
      </w:r>
      <w:r w:rsidRPr="00976474">
        <w:rPr>
          <w:rFonts w:ascii="Arial" w:hAnsi="Arial" w:cs="Arial"/>
          <w:bCs/>
          <w:sz w:val="22"/>
          <w:szCs w:val="22"/>
        </w:rPr>
        <w:t xml:space="preserve">, </w:t>
      </w:r>
      <w:r w:rsidR="00A876A3">
        <w:rPr>
          <w:rFonts w:ascii="Arial" w:hAnsi="Arial" w:cs="Arial"/>
          <w:bCs/>
          <w:sz w:val="22"/>
          <w:szCs w:val="22"/>
        </w:rPr>
        <w:t xml:space="preserve">FreeStyle 1.6, </w:t>
      </w:r>
      <w:r w:rsidRPr="00976474">
        <w:rPr>
          <w:rFonts w:ascii="Arial" w:hAnsi="Arial" w:cs="Arial"/>
          <w:bCs/>
          <w:sz w:val="22"/>
          <w:szCs w:val="22"/>
        </w:rPr>
        <w:t>Proteome Discoverer 2.</w:t>
      </w:r>
      <w:r w:rsidR="00104ED4">
        <w:rPr>
          <w:rFonts w:ascii="Arial" w:hAnsi="Arial" w:cs="Arial"/>
          <w:bCs/>
          <w:sz w:val="22"/>
          <w:szCs w:val="22"/>
        </w:rPr>
        <w:t>4</w:t>
      </w:r>
      <w:r w:rsidRPr="00976474">
        <w:rPr>
          <w:rFonts w:ascii="Arial" w:hAnsi="Arial" w:cs="Arial"/>
          <w:bCs/>
          <w:sz w:val="22"/>
          <w:szCs w:val="22"/>
        </w:rPr>
        <w:t>, PMI-Preview</w:t>
      </w:r>
      <w:r w:rsidR="004A11FA">
        <w:rPr>
          <w:rFonts w:ascii="Arial" w:hAnsi="Arial" w:cs="Arial"/>
          <w:bCs/>
          <w:sz w:val="22"/>
          <w:szCs w:val="22"/>
        </w:rPr>
        <w:t xml:space="preserve"> </w:t>
      </w:r>
      <w:r w:rsidR="00104ED4">
        <w:rPr>
          <w:rFonts w:ascii="Arial" w:hAnsi="Arial" w:cs="Arial"/>
          <w:bCs/>
          <w:sz w:val="22"/>
          <w:szCs w:val="22"/>
        </w:rPr>
        <w:t>3.5</w:t>
      </w:r>
      <w:r w:rsidRPr="00976474">
        <w:rPr>
          <w:rFonts w:ascii="Arial" w:hAnsi="Arial" w:cs="Arial"/>
          <w:bCs/>
          <w:sz w:val="22"/>
          <w:szCs w:val="22"/>
        </w:rPr>
        <w:t>, PMI-Byonic</w:t>
      </w:r>
      <w:r w:rsidR="004A11FA">
        <w:rPr>
          <w:rFonts w:ascii="Arial" w:hAnsi="Arial" w:cs="Arial"/>
          <w:bCs/>
          <w:sz w:val="22"/>
          <w:szCs w:val="22"/>
        </w:rPr>
        <w:t xml:space="preserve"> </w:t>
      </w:r>
      <w:r w:rsidR="00104ED4">
        <w:rPr>
          <w:rFonts w:ascii="Arial" w:hAnsi="Arial" w:cs="Arial"/>
          <w:bCs/>
          <w:sz w:val="22"/>
          <w:szCs w:val="22"/>
        </w:rPr>
        <w:t>3.5</w:t>
      </w:r>
      <w:r w:rsidRPr="00976474">
        <w:rPr>
          <w:rFonts w:ascii="Arial" w:hAnsi="Arial" w:cs="Arial"/>
          <w:bCs/>
          <w:sz w:val="22"/>
          <w:szCs w:val="22"/>
        </w:rPr>
        <w:t>, Compound Discove</w:t>
      </w:r>
      <w:r w:rsidR="00D10407" w:rsidRPr="00976474">
        <w:rPr>
          <w:rFonts w:ascii="Arial" w:hAnsi="Arial" w:cs="Arial"/>
          <w:bCs/>
          <w:sz w:val="22"/>
          <w:szCs w:val="22"/>
        </w:rPr>
        <w:t>rer 2.</w:t>
      </w:r>
      <w:r w:rsidR="009562F5">
        <w:rPr>
          <w:rFonts w:ascii="Arial" w:hAnsi="Arial" w:cs="Arial"/>
          <w:bCs/>
          <w:sz w:val="22"/>
          <w:szCs w:val="22"/>
        </w:rPr>
        <w:t>1</w:t>
      </w:r>
      <w:r w:rsidR="00D10407" w:rsidRPr="00976474">
        <w:rPr>
          <w:rFonts w:ascii="Arial" w:hAnsi="Arial" w:cs="Arial"/>
          <w:bCs/>
          <w:sz w:val="22"/>
          <w:szCs w:val="22"/>
        </w:rPr>
        <w:t>, TraceFinder 4.1</w:t>
      </w:r>
      <w:r w:rsidRPr="00976474">
        <w:rPr>
          <w:rFonts w:ascii="Arial" w:hAnsi="Arial" w:cs="Arial"/>
          <w:sz w:val="22"/>
          <w:szCs w:val="22"/>
        </w:rPr>
        <w:t xml:space="preserve">, and others. </w:t>
      </w:r>
      <w:r w:rsidR="0079667C">
        <w:rPr>
          <w:rFonts w:ascii="Arial" w:hAnsi="Arial" w:cs="Arial"/>
          <w:sz w:val="22"/>
          <w:szCs w:val="22"/>
        </w:rPr>
        <w:t>Metabolomics projects are outsourced to the University of Tennessee Knoxville (UTK) campus, which bills UTHSC at UTK internal rates for services.</w:t>
      </w:r>
    </w:p>
    <w:p w14:paraId="08B0C9FB" w14:textId="77777777" w:rsidR="00145B17" w:rsidRPr="00976474" w:rsidRDefault="00145B17" w:rsidP="004A02A4">
      <w:pPr>
        <w:jc w:val="both"/>
        <w:rPr>
          <w:rFonts w:ascii="Arial" w:hAnsi="Arial" w:cs="Arial"/>
          <w:sz w:val="22"/>
          <w:szCs w:val="22"/>
        </w:rPr>
      </w:pPr>
    </w:p>
    <w:p w14:paraId="01416194" w14:textId="064CB278" w:rsidR="00756D9C" w:rsidRPr="00976474" w:rsidRDefault="008D66B5" w:rsidP="000F331A">
      <w:pPr>
        <w:jc w:val="both"/>
        <w:rPr>
          <w:rFonts w:ascii="Arial" w:hAnsi="Arial" w:cs="Arial"/>
          <w:b/>
          <w:sz w:val="22"/>
          <w:szCs w:val="22"/>
        </w:rPr>
      </w:pPr>
      <w:r w:rsidRPr="00976474">
        <w:rPr>
          <w:rFonts w:ascii="Arial" w:hAnsi="Arial" w:cs="Arial"/>
          <w:b/>
          <w:sz w:val="22"/>
          <w:szCs w:val="22"/>
        </w:rPr>
        <w:t xml:space="preserve">Research Histology Core (RHC); </w:t>
      </w:r>
      <w:r w:rsidR="001706E0">
        <w:rPr>
          <w:rFonts w:ascii="Arial" w:hAnsi="Arial" w:cs="Arial"/>
          <w:b/>
          <w:sz w:val="22"/>
          <w:szCs w:val="22"/>
        </w:rPr>
        <w:t>Natasha Jones</w:t>
      </w:r>
      <w:r w:rsidRPr="00976474">
        <w:rPr>
          <w:rFonts w:ascii="Arial" w:hAnsi="Arial" w:cs="Arial"/>
          <w:b/>
          <w:sz w:val="22"/>
          <w:szCs w:val="22"/>
        </w:rPr>
        <w:t xml:space="preserve">, </w:t>
      </w:r>
      <w:r w:rsidR="00F122FA">
        <w:rPr>
          <w:rFonts w:ascii="Arial" w:hAnsi="Arial" w:cs="Arial"/>
          <w:b/>
          <w:sz w:val="22"/>
          <w:szCs w:val="22"/>
        </w:rPr>
        <w:t>Laboratory Manager</w:t>
      </w:r>
      <w:r w:rsidRPr="00976474">
        <w:rPr>
          <w:rFonts w:ascii="Arial" w:hAnsi="Arial" w:cs="Arial"/>
          <w:b/>
          <w:sz w:val="22"/>
          <w:szCs w:val="22"/>
        </w:rPr>
        <w:t>:</w:t>
      </w:r>
    </w:p>
    <w:p w14:paraId="44491181" w14:textId="49CCADC5" w:rsidR="00AA43C3" w:rsidRDefault="001D63BC" w:rsidP="00AA43C3">
      <w:pPr>
        <w:jc w:val="both"/>
        <w:rPr>
          <w:rFonts w:ascii="Arial" w:hAnsi="Arial" w:cs="Arial"/>
          <w:sz w:val="22"/>
          <w:szCs w:val="22"/>
        </w:rPr>
      </w:pPr>
      <w:r w:rsidRPr="00976474">
        <w:rPr>
          <w:rFonts w:ascii="Arial" w:hAnsi="Arial" w:cs="Arial"/>
          <w:sz w:val="22"/>
          <w:szCs w:val="22"/>
        </w:rPr>
        <w:t>The Research Histology Core</w:t>
      </w:r>
      <w:r w:rsidR="00F122FA">
        <w:rPr>
          <w:rFonts w:ascii="Arial" w:hAnsi="Arial" w:cs="Arial"/>
          <w:sz w:val="22"/>
          <w:szCs w:val="22"/>
        </w:rPr>
        <w:t xml:space="preserve"> is a partnership between the Office of Research and the Department of Pathology and Laboratory Medicine</w:t>
      </w:r>
      <w:r w:rsidR="00B161B1">
        <w:rPr>
          <w:rFonts w:ascii="Arial" w:hAnsi="Arial" w:cs="Arial"/>
          <w:sz w:val="22"/>
          <w:szCs w:val="22"/>
        </w:rPr>
        <w:t>/University Clinical Health (UCH)</w:t>
      </w:r>
      <w:r w:rsidR="00F122FA">
        <w:rPr>
          <w:rFonts w:ascii="Arial" w:hAnsi="Arial" w:cs="Arial"/>
          <w:sz w:val="22"/>
          <w:szCs w:val="22"/>
        </w:rPr>
        <w:t>. The RHC’s</w:t>
      </w:r>
      <w:r w:rsidRPr="00976474">
        <w:rPr>
          <w:rFonts w:ascii="Arial" w:hAnsi="Arial" w:cs="Arial"/>
          <w:sz w:val="22"/>
          <w:szCs w:val="22"/>
        </w:rPr>
        <w:t xml:space="preserve"> mission is to provide high-quality histology services and expert consultation on histopathology to support basic and translational research. </w:t>
      </w:r>
      <w:r w:rsidR="00CA5F1F">
        <w:rPr>
          <w:rFonts w:ascii="Arial" w:hAnsi="Arial" w:cs="Arial"/>
          <w:sz w:val="22"/>
          <w:szCs w:val="22"/>
        </w:rPr>
        <w:t>L</w:t>
      </w:r>
      <w:r w:rsidR="00D94531" w:rsidRPr="00976474">
        <w:rPr>
          <w:rFonts w:ascii="Arial" w:hAnsi="Arial" w:cs="Arial"/>
          <w:sz w:val="22"/>
          <w:szCs w:val="22"/>
        </w:rPr>
        <w:t xml:space="preserve">aunched </w:t>
      </w:r>
      <w:r w:rsidR="00E259DC">
        <w:rPr>
          <w:rFonts w:ascii="Arial" w:hAnsi="Arial" w:cs="Arial"/>
          <w:sz w:val="22"/>
          <w:szCs w:val="22"/>
        </w:rPr>
        <w:t xml:space="preserve">in </w:t>
      </w:r>
      <w:r w:rsidR="00D94531" w:rsidRPr="00976474">
        <w:rPr>
          <w:rFonts w:ascii="Arial" w:hAnsi="Arial" w:cs="Arial"/>
          <w:sz w:val="22"/>
          <w:szCs w:val="22"/>
        </w:rPr>
        <w:t>July 2017</w:t>
      </w:r>
      <w:r w:rsidR="00CA5F1F">
        <w:rPr>
          <w:rFonts w:ascii="Arial" w:hAnsi="Arial" w:cs="Arial"/>
          <w:sz w:val="22"/>
          <w:szCs w:val="22"/>
        </w:rPr>
        <w:t>, t</w:t>
      </w:r>
      <w:r w:rsidRPr="00976474">
        <w:rPr>
          <w:rFonts w:ascii="Arial" w:hAnsi="Arial" w:cs="Arial"/>
          <w:sz w:val="22"/>
          <w:szCs w:val="22"/>
        </w:rPr>
        <w:t>he RHC support</w:t>
      </w:r>
      <w:r w:rsidR="00902C47" w:rsidRPr="00976474">
        <w:rPr>
          <w:rFonts w:ascii="Arial" w:hAnsi="Arial" w:cs="Arial"/>
          <w:sz w:val="22"/>
          <w:szCs w:val="22"/>
        </w:rPr>
        <w:t>s</w:t>
      </w:r>
      <w:r w:rsidRPr="00976474">
        <w:rPr>
          <w:rFonts w:ascii="Arial" w:hAnsi="Arial" w:cs="Arial"/>
          <w:sz w:val="22"/>
          <w:szCs w:val="22"/>
        </w:rPr>
        <w:t xml:space="preserve"> process</w:t>
      </w:r>
      <w:r w:rsidR="00902C47" w:rsidRPr="00976474">
        <w:rPr>
          <w:rFonts w:ascii="Arial" w:hAnsi="Arial" w:cs="Arial"/>
          <w:sz w:val="22"/>
          <w:szCs w:val="22"/>
        </w:rPr>
        <w:t xml:space="preserve">ing, embedding, sectioning, </w:t>
      </w:r>
      <w:r w:rsidRPr="00976474">
        <w:rPr>
          <w:rFonts w:ascii="Arial" w:hAnsi="Arial" w:cs="Arial"/>
          <w:sz w:val="22"/>
          <w:szCs w:val="22"/>
        </w:rPr>
        <w:t xml:space="preserve">H&amp;E-staining </w:t>
      </w:r>
      <w:r w:rsidR="00902C47" w:rsidRPr="00976474">
        <w:rPr>
          <w:rFonts w:ascii="Arial" w:hAnsi="Arial" w:cs="Arial"/>
          <w:sz w:val="22"/>
          <w:szCs w:val="22"/>
        </w:rPr>
        <w:t xml:space="preserve">and a variety of special stains </w:t>
      </w:r>
      <w:r w:rsidRPr="00976474">
        <w:rPr>
          <w:rFonts w:ascii="Arial" w:hAnsi="Arial" w:cs="Arial"/>
          <w:sz w:val="22"/>
          <w:szCs w:val="22"/>
        </w:rPr>
        <w:t>of tissues for research purposes</w:t>
      </w:r>
      <w:r w:rsidR="00E10B3F">
        <w:rPr>
          <w:rFonts w:ascii="Arial" w:hAnsi="Arial" w:cs="Arial"/>
          <w:sz w:val="22"/>
          <w:szCs w:val="22"/>
        </w:rPr>
        <w:t xml:space="preserve"> </w:t>
      </w:r>
      <w:r w:rsidRPr="00976474">
        <w:rPr>
          <w:rFonts w:ascii="Arial" w:hAnsi="Arial" w:cs="Arial"/>
          <w:sz w:val="22"/>
          <w:szCs w:val="22"/>
        </w:rPr>
        <w:t xml:space="preserve">- primarily tissues derived from rodent models or human specimens xenografted into mice. The RHC </w:t>
      </w:r>
      <w:r w:rsidR="00EC19E7">
        <w:rPr>
          <w:rFonts w:ascii="Arial" w:hAnsi="Arial" w:cs="Arial"/>
          <w:sz w:val="22"/>
          <w:szCs w:val="22"/>
        </w:rPr>
        <w:t>also offers expert</w:t>
      </w:r>
      <w:r w:rsidRPr="00976474">
        <w:rPr>
          <w:rFonts w:ascii="Arial" w:hAnsi="Arial" w:cs="Arial"/>
          <w:sz w:val="22"/>
          <w:szCs w:val="22"/>
        </w:rPr>
        <w:t xml:space="preserve"> consultation during the project design phase, and for evaluating histopathology and molecular pathology of </w:t>
      </w:r>
      <w:r w:rsidR="00EC19E7">
        <w:rPr>
          <w:rFonts w:ascii="Arial" w:hAnsi="Arial" w:cs="Arial"/>
          <w:sz w:val="22"/>
          <w:szCs w:val="22"/>
        </w:rPr>
        <w:t xml:space="preserve">processed </w:t>
      </w:r>
      <w:r w:rsidRPr="00976474">
        <w:rPr>
          <w:rFonts w:ascii="Arial" w:hAnsi="Arial" w:cs="Arial"/>
          <w:sz w:val="22"/>
          <w:szCs w:val="22"/>
        </w:rPr>
        <w:t xml:space="preserve">samples </w:t>
      </w:r>
      <w:r w:rsidR="00F122FA">
        <w:rPr>
          <w:rFonts w:ascii="Arial" w:hAnsi="Arial" w:cs="Arial"/>
          <w:sz w:val="22"/>
          <w:szCs w:val="22"/>
        </w:rPr>
        <w:t>through collaboration with faculty and residents in the Department of Pathology</w:t>
      </w:r>
      <w:r w:rsidRPr="00976474">
        <w:rPr>
          <w:rFonts w:ascii="Arial" w:hAnsi="Arial" w:cs="Arial"/>
          <w:sz w:val="22"/>
          <w:szCs w:val="22"/>
        </w:rPr>
        <w:t xml:space="preserve">. </w:t>
      </w:r>
      <w:r w:rsidR="00B161B1">
        <w:rPr>
          <w:rFonts w:ascii="Arial" w:hAnsi="Arial" w:cs="Arial"/>
          <w:sz w:val="22"/>
          <w:szCs w:val="22"/>
        </w:rPr>
        <w:t>The core makes</w:t>
      </w:r>
      <w:r w:rsidR="00902C47" w:rsidRPr="00976474">
        <w:rPr>
          <w:rFonts w:ascii="Arial" w:hAnsi="Arial" w:cs="Arial"/>
          <w:sz w:val="22"/>
          <w:szCs w:val="22"/>
        </w:rPr>
        <w:t xml:space="preserve"> </w:t>
      </w:r>
      <w:r w:rsidR="00EC19E7">
        <w:rPr>
          <w:rFonts w:ascii="Arial" w:hAnsi="Arial" w:cs="Arial"/>
          <w:sz w:val="22"/>
          <w:szCs w:val="22"/>
        </w:rPr>
        <w:t xml:space="preserve">referrals </w:t>
      </w:r>
      <w:r w:rsidR="00B161B1">
        <w:rPr>
          <w:rFonts w:ascii="Arial" w:hAnsi="Arial" w:cs="Arial"/>
          <w:sz w:val="22"/>
          <w:szCs w:val="22"/>
        </w:rPr>
        <w:t xml:space="preserve">for investigators </w:t>
      </w:r>
      <w:r w:rsidR="00EC19E7">
        <w:rPr>
          <w:rFonts w:ascii="Arial" w:hAnsi="Arial" w:cs="Arial"/>
          <w:sz w:val="22"/>
          <w:szCs w:val="22"/>
        </w:rPr>
        <w:t>to obtain whole digital slide scanning</w:t>
      </w:r>
      <w:r w:rsidR="00902C47" w:rsidRPr="00976474">
        <w:rPr>
          <w:rFonts w:ascii="Arial" w:hAnsi="Arial" w:cs="Arial"/>
          <w:sz w:val="22"/>
          <w:szCs w:val="22"/>
        </w:rPr>
        <w:t xml:space="preserve"> </w:t>
      </w:r>
      <w:r w:rsidR="00B161B1">
        <w:rPr>
          <w:rFonts w:ascii="Arial" w:hAnsi="Arial" w:cs="Arial"/>
          <w:sz w:val="22"/>
          <w:szCs w:val="22"/>
        </w:rPr>
        <w:t>services on</w:t>
      </w:r>
      <w:r w:rsidR="00902C47" w:rsidRPr="00976474">
        <w:rPr>
          <w:rFonts w:ascii="Arial" w:hAnsi="Arial" w:cs="Arial"/>
          <w:sz w:val="22"/>
          <w:szCs w:val="22"/>
        </w:rPr>
        <w:t xml:space="preserve"> the </w:t>
      </w:r>
      <w:r w:rsidR="006A0326">
        <w:rPr>
          <w:rFonts w:ascii="Arial" w:hAnsi="Arial" w:cs="Arial"/>
          <w:sz w:val="22"/>
          <w:szCs w:val="22"/>
        </w:rPr>
        <w:t>ThermoFisher</w:t>
      </w:r>
      <w:r w:rsidR="00902C47" w:rsidRPr="00976474">
        <w:rPr>
          <w:rFonts w:ascii="Arial" w:hAnsi="Arial" w:cs="Arial"/>
          <w:sz w:val="22"/>
          <w:szCs w:val="22"/>
        </w:rPr>
        <w:t xml:space="preserve"> </w:t>
      </w:r>
      <w:r w:rsidR="006A0326" w:rsidRPr="006A0326">
        <w:rPr>
          <w:rFonts w:ascii="Arial" w:hAnsi="Arial" w:cs="Arial"/>
          <w:sz w:val="22"/>
          <w:szCs w:val="22"/>
        </w:rPr>
        <w:t>Pannoramic FLASH III</w:t>
      </w:r>
      <w:r w:rsidR="006A0326">
        <w:rPr>
          <w:rFonts w:ascii="Arial" w:hAnsi="Arial" w:cs="Arial"/>
          <w:sz w:val="22"/>
          <w:szCs w:val="22"/>
        </w:rPr>
        <w:t xml:space="preserve"> system</w:t>
      </w:r>
      <w:r w:rsidR="00B161B1">
        <w:rPr>
          <w:rFonts w:ascii="Arial" w:hAnsi="Arial" w:cs="Arial"/>
          <w:sz w:val="22"/>
          <w:szCs w:val="22"/>
        </w:rPr>
        <w:t>,</w:t>
      </w:r>
      <w:r w:rsidR="006A0326">
        <w:rPr>
          <w:rFonts w:ascii="Arial" w:hAnsi="Arial" w:cs="Arial"/>
          <w:sz w:val="22"/>
          <w:szCs w:val="22"/>
        </w:rPr>
        <w:t xml:space="preserve"> with software bundles for quantification of whole slide images or tumor microarrays</w:t>
      </w:r>
      <w:r w:rsidR="00A60DBB">
        <w:rPr>
          <w:rFonts w:ascii="Arial" w:hAnsi="Arial" w:cs="Arial"/>
          <w:sz w:val="22"/>
          <w:szCs w:val="22"/>
        </w:rPr>
        <w:t>.</w:t>
      </w:r>
      <w:r w:rsidR="0079667C">
        <w:rPr>
          <w:rFonts w:ascii="Arial" w:hAnsi="Arial" w:cs="Arial"/>
          <w:sz w:val="22"/>
          <w:szCs w:val="22"/>
        </w:rPr>
        <w:t xml:space="preserve"> </w:t>
      </w:r>
      <w:r w:rsidR="00A60DBB">
        <w:rPr>
          <w:rFonts w:ascii="Arial" w:hAnsi="Arial" w:cs="Arial"/>
          <w:sz w:val="22"/>
          <w:szCs w:val="22"/>
        </w:rPr>
        <w:t>E</w:t>
      </w:r>
      <w:r w:rsidR="00B161B1">
        <w:rPr>
          <w:rFonts w:ascii="Arial" w:hAnsi="Arial" w:cs="Arial"/>
          <w:sz w:val="22"/>
          <w:szCs w:val="22"/>
        </w:rPr>
        <w:t xml:space="preserve">quipment is </w:t>
      </w:r>
      <w:r w:rsidR="00EC19E7">
        <w:rPr>
          <w:rFonts w:ascii="Arial" w:hAnsi="Arial" w:cs="Arial"/>
          <w:sz w:val="22"/>
          <w:szCs w:val="22"/>
        </w:rPr>
        <w:t xml:space="preserve">maintained by the Department of Pathology and Laboratory Medicine. </w:t>
      </w:r>
      <w:r w:rsidR="00902C47" w:rsidRPr="00976474">
        <w:rPr>
          <w:rFonts w:ascii="Arial" w:hAnsi="Arial" w:cs="Arial"/>
          <w:sz w:val="22"/>
          <w:szCs w:val="22"/>
        </w:rPr>
        <w:t xml:space="preserve">Special </w:t>
      </w:r>
      <w:r w:rsidR="00B161B1">
        <w:rPr>
          <w:rFonts w:ascii="Arial" w:hAnsi="Arial" w:cs="Arial"/>
          <w:sz w:val="22"/>
          <w:szCs w:val="22"/>
        </w:rPr>
        <w:t xml:space="preserve">histopathology </w:t>
      </w:r>
      <w:r w:rsidR="006A0326">
        <w:rPr>
          <w:rFonts w:ascii="Arial" w:hAnsi="Arial" w:cs="Arial"/>
          <w:sz w:val="22"/>
          <w:szCs w:val="22"/>
        </w:rPr>
        <w:t>project</w:t>
      </w:r>
      <w:r w:rsidR="00EC19E7">
        <w:rPr>
          <w:rFonts w:ascii="Arial" w:hAnsi="Arial" w:cs="Arial"/>
          <w:sz w:val="22"/>
          <w:szCs w:val="22"/>
        </w:rPr>
        <w:t>s</w:t>
      </w:r>
      <w:r w:rsidR="00902C47" w:rsidRPr="00976474">
        <w:rPr>
          <w:rFonts w:ascii="Arial" w:hAnsi="Arial" w:cs="Arial"/>
          <w:sz w:val="22"/>
          <w:szCs w:val="22"/>
        </w:rPr>
        <w:t xml:space="preserve"> are </w:t>
      </w:r>
      <w:r w:rsidRPr="00976474">
        <w:rPr>
          <w:rFonts w:ascii="Arial" w:hAnsi="Arial" w:cs="Arial"/>
          <w:sz w:val="22"/>
          <w:szCs w:val="22"/>
        </w:rPr>
        <w:t>priced based on the scope of the proposed work</w:t>
      </w:r>
      <w:r w:rsidR="00EC19E7">
        <w:rPr>
          <w:rFonts w:ascii="Arial" w:hAnsi="Arial" w:cs="Arial"/>
          <w:sz w:val="22"/>
          <w:szCs w:val="22"/>
        </w:rPr>
        <w:t xml:space="preserve"> in consultation with the</w:t>
      </w:r>
      <w:r w:rsidR="00F122FA">
        <w:rPr>
          <w:rFonts w:ascii="Arial" w:hAnsi="Arial" w:cs="Arial"/>
          <w:sz w:val="22"/>
          <w:szCs w:val="22"/>
        </w:rPr>
        <w:t xml:space="preserve"> laboratory manager</w:t>
      </w:r>
      <w:r w:rsidRPr="00976474">
        <w:rPr>
          <w:rFonts w:ascii="Arial" w:hAnsi="Arial" w:cs="Arial"/>
          <w:sz w:val="22"/>
          <w:szCs w:val="22"/>
        </w:rPr>
        <w:t>.</w:t>
      </w:r>
      <w:r w:rsidR="004117DD" w:rsidRPr="00976474">
        <w:rPr>
          <w:rFonts w:ascii="Arial" w:hAnsi="Arial" w:cs="Arial"/>
          <w:sz w:val="22"/>
          <w:szCs w:val="22"/>
        </w:rPr>
        <w:t xml:space="preserve"> The RHC </w:t>
      </w:r>
      <w:r w:rsidRPr="00976474">
        <w:rPr>
          <w:rFonts w:ascii="Arial" w:hAnsi="Arial" w:cs="Arial"/>
          <w:sz w:val="22"/>
          <w:szCs w:val="22"/>
        </w:rPr>
        <w:t xml:space="preserve">maintains a </w:t>
      </w:r>
      <w:r w:rsidR="0079667C">
        <w:rPr>
          <w:rFonts w:ascii="Arial" w:hAnsi="Arial" w:cs="Arial"/>
          <w:sz w:val="22"/>
          <w:szCs w:val="22"/>
        </w:rPr>
        <w:t xml:space="preserve">Thermo Excelsior Tissue Processor, 2 Sakura VIP Tissue Processors, 1 Sakura DRS2000 Autostainer, 3 Leica microtomes, 2 Benchmark Ultra Immunohistochemistry stainers, 2 Peloris Rapid Tissue Processors, 1 CM1850 cyrostat, 1 H&amp;E AutoStainer XL and 1 CV 5030 Automatic Coverslipper. </w:t>
      </w:r>
      <w:r w:rsidR="00F07792" w:rsidRPr="00976474">
        <w:rPr>
          <w:rFonts w:ascii="Arial" w:hAnsi="Arial" w:cs="Arial"/>
          <w:sz w:val="22"/>
          <w:szCs w:val="22"/>
        </w:rPr>
        <w:t>The RHC</w:t>
      </w:r>
      <w:r w:rsidRPr="00976474">
        <w:rPr>
          <w:rFonts w:ascii="Arial" w:hAnsi="Arial" w:cs="Arial"/>
          <w:sz w:val="22"/>
          <w:szCs w:val="22"/>
        </w:rPr>
        <w:t xml:space="preserve"> </w:t>
      </w:r>
      <w:r w:rsidR="00902C47" w:rsidRPr="00976474">
        <w:rPr>
          <w:rFonts w:ascii="Arial" w:hAnsi="Arial" w:cs="Arial"/>
          <w:sz w:val="22"/>
          <w:szCs w:val="22"/>
        </w:rPr>
        <w:t>is</w:t>
      </w:r>
      <w:r w:rsidR="00EE1FD9" w:rsidRPr="00976474">
        <w:rPr>
          <w:rFonts w:ascii="Arial" w:hAnsi="Arial" w:cs="Arial"/>
          <w:sz w:val="22"/>
          <w:szCs w:val="22"/>
        </w:rPr>
        <w:t xml:space="preserve"> staffed </w:t>
      </w:r>
      <w:r w:rsidR="00902C47" w:rsidRPr="00976474">
        <w:rPr>
          <w:rFonts w:ascii="Arial" w:hAnsi="Arial" w:cs="Arial"/>
          <w:sz w:val="22"/>
          <w:szCs w:val="22"/>
        </w:rPr>
        <w:t>by three</w:t>
      </w:r>
      <w:r w:rsidR="00EE1FD9" w:rsidRPr="00976474">
        <w:rPr>
          <w:rFonts w:ascii="Arial" w:hAnsi="Arial" w:cs="Arial"/>
          <w:sz w:val="22"/>
          <w:szCs w:val="22"/>
        </w:rPr>
        <w:t xml:space="preserve"> experienced</w:t>
      </w:r>
      <w:r w:rsidR="00B161B1">
        <w:rPr>
          <w:rFonts w:ascii="Arial" w:hAnsi="Arial" w:cs="Arial"/>
          <w:sz w:val="22"/>
          <w:szCs w:val="22"/>
        </w:rPr>
        <w:t>,</w:t>
      </w:r>
      <w:r w:rsidR="00EE1FD9" w:rsidRPr="00976474">
        <w:rPr>
          <w:rFonts w:ascii="Arial" w:hAnsi="Arial" w:cs="Arial"/>
          <w:sz w:val="22"/>
          <w:szCs w:val="22"/>
        </w:rPr>
        <w:t xml:space="preserve"> </w:t>
      </w:r>
      <w:r w:rsidR="00EC19E7">
        <w:rPr>
          <w:rFonts w:ascii="Arial" w:hAnsi="Arial" w:cs="Arial"/>
          <w:sz w:val="22"/>
          <w:szCs w:val="22"/>
        </w:rPr>
        <w:t xml:space="preserve">full-time </w:t>
      </w:r>
      <w:r w:rsidR="00EE1FD9" w:rsidRPr="00976474">
        <w:rPr>
          <w:rFonts w:ascii="Arial" w:hAnsi="Arial" w:cs="Arial"/>
          <w:sz w:val="22"/>
          <w:szCs w:val="22"/>
        </w:rPr>
        <w:t>clinical pathology histotech</w:t>
      </w:r>
      <w:r w:rsidR="007F79ED" w:rsidRPr="00976474">
        <w:rPr>
          <w:rFonts w:ascii="Arial" w:hAnsi="Arial" w:cs="Arial"/>
          <w:sz w:val="22"/>
          <w:szCs w:val="22"/>
        </w:rPr>
        <w:t>nologist</w:t>
      </w:r>
      <w:r w:rsidR="00902C47" w:rsidRPr="00976474">
        <w:rPr>
          <w:rFonts w:ascii="Arial" w:hAnsi="Arial" w:cs="Arial"/>
          <w:sz w:val="22"/>
          <w:szCs w:val="22"/>
        </w:rPr>
        <w:t>s</w:t>
      </w:r>
      <w:r w:rsidR="00EC19E7">
        <w:rPr>
          <w:rFonts w:ascii="Arial" w:hAnsi="Arial" w:cs="Arial"/>
          <w:sz w:val="22"/>
          <w:szCs w:val="22"/>
        </w:rPr>
        <w:t xml:space="preserve">. </w:t>
      </w:r>
    </w:p>
    <w:p w14:paraId="4231582F" w14:textId="77777777" w:rsidR="00F122FA" w:rsidRPr="00F122FA" w:rsidRDefault="00F122FA" w:rsidP="00F122FA"/>
    <w:p w14:paraId="7A10CB9A" w14:textId="0939D79D" w:rsidR="00AA43C3" w:rsidRPr="00976474" w:rsidRDefault="00AA43C3" w:rsidP="00AA43C3">
      <w:pPr>
        <w:jc w:val="both"/>
        <w:rPr>
          <w:rFonts w:ascii="Arial" w:hAnsi="Arial" w:cs="Arial"/>
          <w:b/>
          <w:sz w:val="22"/>
          <w:szCs w:val="22"/>
        </w:rPr>
      </w:pPr>
      <w:r w:rsidRPr="00976474">
        <w:rPr>
          <w:rFonts w:ascii="Arial" w:hAnsi="Arial" w:cs="Arial"/>
          <w:b/>
          <w:sz w:val="22"/>
          <w:szCs w:val="22"/>
        </w:rPr>
        <w:t>Medicinal Chemistry Core (MedChem); Jiawang Liu, PhD, Director</w:t>
      </w:r>
      <w:r w:rsidR="005D1A00">
        <w:rPr>
          <w:rFonts w:ascii="Arial" w:hAnsi="Arial" w:cs="Arial"/>
          <w:b/>
          <w:sz w:val="22"/>
          <w:szCs w:val="22"/>
        </w:rPr>
        <w:t>:</w:t>
      </w:r>
    </w:p>
    <w:p w14:paraId="715FCC8D" w14:textId="3657324B" w:rsidR="00C93140" w:rsidRDefault="00C93140" w:rsidP="00C93140">
      <w:pPr>
        <w:jc w:val="both"/>
        <w:rPr>
          <w:rFonts w:ascii="Arial" w:eastAsia="ArialMT" w:hAnsi="Arial" w:cs="Arial"/>
          <w:sz w:val="22"/>
          <w:szCs w:val="22"/>
        </w:rPr>
      </w:pPr>
      <w:r w:rsidRPr="00976474">
        <w:rPr>
          <w:rFonts w:ascii="Arial" w:hAnsi="Arial"/>
          <w:sz w:val="22"/>
          <w:szCs w:val="22"/>
        </w:rPr>
        <w:t xml:space="preserve">The Medicinal Chemistry Core’s mission </w:t>
      </w:r>
      <w:r>
        <w:rPr>
          <w:rFonts w:ascii="Arial" w:hAnsi="Arial"/>
          <w:sz w:val="22"/>
          <w:szCs w:val="22"/>
        </w:rPr>
        <w:t xml:space="preserve">is to offer services related </w:t>
      </w:r>
      <w:r w:rsidRPr="00A07B8D">
        <w:rPr>
          <w:rFonts w:ascii="Arial" w:hAnsi="Arial"/>
          <w:sz w:val="22"/>
          <w:szCs w:val="22"/>
        </w:rPr>
        <w:t xml:space="preserve">to </w:t>
      </w:r>
      <w:r w:rsidRPr="00A07B8D">
        <w:rPr>
          <w:rFonts w:ascii="Arial" w:eastAsia="ArialMT" w:hAnsi="Arial" w:cs="Arial"/>
          <w:sz w:val="22"/>
          <w:szCs w:val="22"/>
        </w:rPr>
        <w:t>all aspects of small molecule drug development</w:t>
      </w:r>
      <w:r>
        <w:rPr>
          <w:rFonts w:ascii="Arial" w:eastAsia="ArialMT" w:hAnsi="Arial" w:cs="Arial"/>
          <w:sz w:val="22"/>
          <w:szCs w:val="22"/>
        </w:rPr>
        <w:t xml:space="preserve"> and synthesis</w:t>
      </w:r>
      <w:r w:rsidRPr="00A07B8D">
        <w:rPr>
          <w:rFonts w:ascii="Arial" w:eastAsia="ArialMT" w:hAnsi="Arial" w:cs="Arial"/>
          <w:sz w:val="22"/>
          <w:szCs w:val="22"/>
        </w:rPr>
        <w:t xml:space="preserve">, including, but not limited to, target validation, lead optimization, </w:t>
      </w:r>
      <w:r>
        <w:rPr>
          <w:rFonts w:ascii="Arial" w:eastAsia="ArialMT" w:hAnsi="Arial" w:cs="Arial"/>
          <w:sz w:val="22"/>
          <w:szCs w:val="22"/>
        </w:rPr>
        <w:t>small molecule</w:t>
      </w:r>
      <w:r w:rsidRPr="00A07B8D">
        <w:rPr>
          <w:rFonts w:ascii="Arial" w:eastAsia="ArialMT" w:hAnsi="Arial" w:cs="Arial"/>
          <w:sz w:val="22"/>
          <w:szCs w:val="22"/>
        </w:rPr>
        <w:t xml:space="preserve"> </w:t>
      </w:r>
      <w:r>
        <w:rPr>
          <w:rFonts w:ascii="Arial" w:eastAsia="ArialMT" w:hAnsi="Arial" w:cs="Arial"/>
          <w:sz w:val="22"/>
          <w:szCs w:val="22"/>
        </w:rPr>
        <w:t>custom</w:t>
      </w:r>
      <w:r w:rsidRPr="00A07B8D">
        <w:rPr>
          <w:rFonts w:ascii="Arial" w:eastAsia="ArialMT" w:hAnsi="Arial" w:cs="Arial"/>
          <w:sz w:val="22"/>
          <w:szCs w:val="22"/>
        </w:rPr>
        <w:t xml:space="preserve"> synthesis</w:t>
      </w:r>
      <w:r>
        <w:rPr>
          <w:rFonts w:ascii="Arial" w:eastAsia="ArialMT" w:hAnsi="Arial" w:cs="Arial"/>
          <w:sz w:val="22"/>
          <w:szCs w:val="22"/>
        </w:rPr>
        <w:t xml:space="preserve"> (milligram scale to</w:t>
      </w:r>
      <w:r w:rsidRPr="00A07B8D">
        <w:rPr>
          <w:rFonts w:ascii="Arial" w:eastAsia="ArialMT" w:hAnsi="Arial" w:cs="Arial"/>
          <w:sz w:val="22"/>
          <w:szCs w:val="22"/>
        </w:rPr>
        <w:t xml:space="preserve"> multi-gram</w:t>
      </w:r>
      <w:r>
        <w:rPr>
          <w:rFonts w:ascii="Arial" w:eastAsia="ArialMT" w:hAnsi="Arial" w:cs="Arial"/>
          <w:sz w:val="22"/>
          <w:szCs w:val="22"/>
        </w:rPr>
        <w:t xml:space="preserve"> scale)</w:t>
      </w:r>
      <w:r w:rsidRPr="00A07B8D">
        <w:rPr>
          <w:rFonts w:ascii="Arial" w:eastAsia="ArialMT" w:hAnsi="Arial" w:cs="Arial"/>
          <w:sz w:val="22"/>
          <w:szCs w:val="22"/>
        </w:rPr>
        <w:t xml:space="preserve">, structural determination, </w:t>
      </w:r>
      <w:r>
        <w:rPr>
          <w:rFonts w:ascii="Arial" w:eastAsia="ArialMT" w:hAnsi="Arial" w:cs="Arial"/>
          <w:sz w:val="22"/>
          <w:szCs w:val="22"/>
        </w:rPr>
        <w:t xml:space="preserve">and </w:t>
      </w:r>
      <w:r w:rsidRPr="00A07B8D">
        <w:rPr>
          <w:rFonts w:ascii="Arial" w:eastAsia="ArialMT" w:hAnsi="Arial" w:cs="Arial"/>
          <w:sz w:val="22"/>
          <w:szCs w:val="22"/>
        </w:rPr>
        <w:t>purity</w:t>
      </w:r>
      <w:r>
        <w:rPr>
          <w:rFonts w:ascii="Arial" w:eastAsia="ArialMT" w:hAnsi="Arial" w:cs="Arial"/>
          <w:sz w:val="22"/>
          <w:szCs w:val="22"/>
        </w:rPr>
        <w:t>/</w:t>
      </w:r>
      <w:r w:rsidRPr="00A07B8D">
        <w:rPr>
          <w:rFonts w:ascii="Arial" w:eastAsia="ArialMT" w:hAnsi="Arial" w:cs="Arial"/>
          <w:sz w:val="22"/>
          <w:szCs w:val="22"/>
        </w:rPr>
        <w:t>stability analysis</w:t>
      </w:r>
      <w:r w:rsidRPr="00A07B8D">
        <w:rPr>
          <w:rFonts w:ascii="Arial" w:hAnsi="Arial"/>
          <w:sz w:val="22"/>
          <w:szCs w:val="22"/>
        </w:rPr>
        <w:t>.</w:t>
      </w:r>
      <w:r w:rsidRPr="00A07B8D">
        <w:rPr>
          <w:rFonts w:ascii="Arial" w:eastAsia="ArialMT" w:hAnsi="Arial" w:cs="Arial"/>
          <w:sz w:val="22"/>
          <w:szCs w:val="22"/>
        </w:rPr>
        <w:t xml:space="preserve"> </w:t>
      </w:r>
      <w:r w:rsidR="00BA1DE4">
        <w:rPr>
          <w:rFonts w:ascii="Arial" w:eastAsia="ArialMT" w:hAnsi="Arial" w:cs="Arial"/>
          <w:sz w:val="22"/>
          <w:szCs w:val="22"/>
        </w:rPr>
        <w:t xml:space="preserve">Since 2020, the </w:t>
      </w:r>
      <w:r w:rsidR="00EC444F">
        <w:rPr>
          <w:rFonts w:ascii="Arial" w:eastAsia="ArialMT" w:hAnsi="Arial" w:cs="Arial"/>
          <w:sz w:val="22"/>
          <w:szCs w:val="22"/>
        </w:rPr>
        <w:t>c</w:t>
      </w:r>
      <w:r w:rsidR="00BA1DE4">
        <w:rPr>
          <w:rFonts w:ascii="Arial" w:eastAsia="ArialMT" w:hAnsi="Arial" w:cs="Arial"/>
          <w:sz w:val="22"/>
          <w:szCs w:val="22"/>
        </w:rPr>
        <w:t xml:space="preserve">ore also provides targeted metabolite </w:t>
      </w:r>
      <w:r w:rsidR="00015989">
        <w:rPr>
          <w:rFonts w:ascii="Arial" w:eastAsia="ArialMT" w:hAnsi="Arial" w:cs="Arial"/>
          <w:sz w:val="22"/>
          <w:szCs w:val="22"/>
        </w:rPr>
        <w:t xml:space="preserve">identification and </w:t>
      </w:r>
      <w:r w:rsidR="00BA1DE4">
        <w:rPr>
          <w:rFonts w:ascii="Arial" w:eastAsia="ArialMT" w:hAnsi="Arial" w:cs="Arial"/>
          <w:sz w:val="22"/>
          <w:szCs w:val="22"/>
        </w:rPr>
        <w:t>quantification services</w:t>
      </w:r>
      <w:r w:rsidR="00C708FE">
        <w:rPr>
          <w:rFonts w:ascii="Arial" w:eastAsia="ArialMT" w:hAnsi="Arial" w:cs="Arial"/>
          <w:sz w:val="22"/>
          <w:szCs w:val="22"/>
        </w:rPr>
        <w:t>.</w:t>
      </w:r>
      <w:r w:rsidR="00BA1DE4">
        <w:rPr>
          <w:rFonts w:ascii="Arial" w:eastAsia="ArialMT" w:hAnsi="Arial" w:cs="Arial"/>
          <w:sz w:val="22"/>
          <w:szCs w:val="22"/>
        </w:rPr>
        <w:t xml:space="preserve"> </w:t>
      </w:r>
      <w:r w:rsidRPr="00A07B8D">
        <w:rPr>
          <w:rFonts w:ascii="Arial" w:eastAsia="ArialMT" w:hAnsi="Arial" w:cs="Arial"/>
          <w:sz w:val="22"/>
          <w:szCs w:val="22"/>
        </w:rPr>
        <w:t>The</w:t>
      </w:r>
      <w:r w:rsidRPr="00E7558A">
        <w:rPr>
          <w:rFonts w:ascii="Arial" w:eastAsia="ArialMT" w:hAnsi="Arial" w:cs="Arial"/>
          <w:sz w:val="22"/>
          <w:szCs w:val="22"/>
        </w:rPr>
        <w:t xml:space="preserve"> </w:t>
      </w:r>
      <w:r w:rsidR="00EC444F">
        <w:rPr>
          <w:rFonts w:ascii="Arial" w:eastAsia="ArialMT" w:hAnsi="Arial" w:cs="Arial"/>
          <w:sz w:val="22"/>
          <w:szCs w:val="22"/>
        </w:rPr>
        <w:t>c</w:t>
      </w:r>
      <w:r w:rsidRPr="00E7558A">
        <w:rPr>
          <w:rFonts w:ascii="Arial" w:eastAsia="ArialMT" w:hAnsi="Arial" w:cs="Arial"/>
          <w:sz w:val="22"/>
          <w:szCs w:val="22"/>
        </w:rPr>
        <w:t xml:space="preserve">ore is located in the </w:t>
      </w:r>
      <w:r>
        <w:rPr>
          <w:rFonts w:ascii="Arial" w:eastAsia="ArialMT" w:hAnsi="Arial" w:cs="Arial"/>
          <w:sz w:val="22"/>
          <w:szCs w:val="22"/>
        </w:rPr>
        <w:t xml:space="preserve">College of </w:t>
      </w:r>
      <w:r w:rsidRPr="00E7558A">
        <w:rPr>
          <w:rFonts w:ascii="Arial" w:eastAsia="ArialMT" w:hAnsi="Arial" w:cs="Arial"/>
          <w:sz w:val="22"/>
          <w:szCs w:val="22"/>
        </w:rPr>
        <w:t xml:space="preserve">Pharmacy building </w:t>
      </w:r>
      <w:r>
        <w:rPr>
          <w:rFonts w:ascii="Arial" w:eastAsia="ArialMT" w:hAnsi="Arial" w:cs="Arial"/>
          <w:sz w:val="22"/>
          <w:szCs w:val="22"/>
        </w:rPr>
        <w:t>within</w:t>
      </w:r>
      <w:r w:rsidR="00DE1F0C">
        <w:rPr>
          <w:rFonts w:ascii="Arial" w:eastAsia="ArialMT" w:hAnsi="Arial" w:cs="Arial"/>
          <w:sz w:val="22"/>
          <w:szCs w:val="22"/>
        </w:rPr>
        <w:t xml:space="preserve"> </w:t>
      </w:r>
      <w:r>
        <w:rPr>
          <w:rFonts w:ascii="Arial" w:eastAsia="ArialMT" w:hAnsi="Arial" w:cs="Arial"/>
          <w:sz w:val="22"/>
          <w:szCs w:val="22"/>
        </w:rPr>
        <w:t xml:space="preserve">a standard </w:t>
      </w:r>
      <w:r w:rsidR="00BA1DE4">
        <w:rPr>
          <w:rFonts w:ascii="Arial" w:eastAsia="ArialMT" w:hAnsi="Arial" w:cs="Arial"/>
          <w:sz w:val="22"/>
          <w:szCs w:val="22"/>
        </w:rPr>
        <w:t xml:space="preserve">chemistry </w:t>
      </w:r>
      <w:r>
        <w:rPr>
          <w:rFonts w:ascii="Arial" w:eastAsia="ArialMT" w:hAnsi="Arial" w:cs="Arial"/>
          <w:sz w:val="22"/>
          <w:szCs w:val="22"/>
        </w:rPr>
        <w:t xml:space="preserve">laboratory module, including chemical fume hoods, </w:t>
      </w:r>
      <w:r w:rsidRPr="00E7558A">
        <w:rPr>
          <w:rFonts w:ascii="Arial" w:eastAsia="ArialMT" w:hAnsi="Arial" w:cs="Arial"/>
          <w:sz w:val="22"/>
          <w:szCs w:val="22"/>
        </w:rPr>
        <w:t>and is equipped with top-of-the-line instruments needed for synthesis</w:t>
      </w:r>
      <w:r>
        <w:rPr>
          <w:rFonts w:ascii="Arial" w:eastAsia="ArialMT" w:hAnsi="Arial" w:cs="Arial"/>
          <w:sz w:val="22"/>
          <w:szCs w:val="22"/>
        </w:rPr>
        <w:t xml:space="preserve"> and separation</w:t>
      </w:r>
      <w:r w:rsidRPr="00E7558A">
        <w:rPr>
          <w:rFonts w:ascii="Arial" w:eastAsia="ArialMT" w:hAnsi="Arial" w:cs="Arial"/>
          <w:sz w:val="22"/>
          <w:szCs w:val="22"/>
        </w:rPr>
        <w:t>, such as an automatic flash</w:t>
      </w:r>
      <w:r w:rsidR="00BA1DE4">
        <w:rPr>
          <w:rFonts w:ascii="Arial" w:eastAsia="ArialMT" w:hAnsi="Arial" w:cs="Arial"/>
          <w:sz w:val="22"/>
          <w:szCs w:val="22"/>
        </w:rPr>
        <w:t>/HPLC hybrid</w:t>
      </w:r>
      <w:r w:rsidRPr="00E7558A">
        <w:rPr>
          <w:rFonts w:ascii="Arial" w:eastAsia="ArialMT" w:hAnsi="Arial" w:cs="Arial"/>
          <w:sz w:val="22"/>
          <w:szCs w:val="22"/>
        </w:rPr>
        <w:t xml:space="preserve"> column purification system with a </w:t>
      </w:r>
      <w:r>
        <w:rPr>
          <w:rFonts w:ascii="Arial" w:eastAsia="ArialMT" w:hAnsi="Arial" w:cs="Arial"/>
          <w:sz w:val="22"/>
          <w:szCs w:val="22"/>
        </w:rPr>
        <w:t xml:space="preserve">3-way </w:t>
      </w:r>
      <w:r w:rsidRPr="00E7558A">
        <w:rPr>
          <w:rFonts w:ascii="Arial" w:eastAsia="ArialMT" w:hAnsi="Arial" w:cs="Arial"/>
          <w:sz w:val="22"/>
          <w:szCs w:val="22"/>
        </w:rPr>
        <w:t xml:space="preserve">UV detector, a microwave </w:t>
      </w:r>
      <w:r>
        <w:rPr>
          <w:rFonts w:ascii="Arial" w:eastAsia="ArialMT" w:hAnsi="Arial" w:cs="Arial"/>
          <w:sz w:val="22"/>
          <w:szCs w:val="22"/>
        </w:rPr>
        <w:t>synthesizer</w:t>
      </w:r>
      <w:r w:rsidRPr="00E7558A">
        <w:rPr>
          <w:rFonts w:ascii="Arial" w:eastAsia="ArialMT" w:hAnsi="Arial" w:cs="Arial"/>
          <w:sz w:val="22"/>
          <w:szCs w:val="22"/>
        </w:rPr>
        <w:t xml:space="preserve">, and a pressure adjustable rotavapor with </w:t>
      </w:r>
      <w:r>
        <w:rPr>
          <w:rFonts w:ascii="Arial" w:eastAsia="ArialMT" w:hAnsi="Arial" w:cs="Arial"/>
          <w:sz w:val="22"/>
          <w:szCs w:val="22"/>
        </w:rPr>
        <w:t>a high performance vacuum</w:t>
      </w:r>
      <w:r w:rsidRPr="00E7558A">
        <w:rPr>
          <w:rFonts w:ascii="Arial" w:eastAsia="ArialMT" w:hAnsi="Arial" w:cs="Arial"/>
          <w:sz w:val="22"/>
          <w:szCs w:val="22"/>
        </w:rPr>
        <w:t xml:space="preserve"> pump</w:t>
      </w:r>
      <w:r w:rsidR="00AD4165">
        <w:rPr>
          <w:rFonts w:ascii="Arial" w:eastAsia="ArialMT" w:hAnsi="Arial" w:cs="Arial"/>
          <w:sz w:val="22"/>
          <w:szCs w:val="22"/>
        </w:rPr>
        <w:t>, and a PerkinE</w:t>
      </w:r>
      <w:r w:rsidR="00AD4165" w:rsidRPr="003879E8">
        <w:rPr>
          <w:rFonts w:ascii="Arial" w:eastAsia="ArialMT" w:hAnsi="Arial" w:cs="Arial"/>
          <w:sz w:val="22"/>
          <w:szCs w:val="22"/>
        </w:rPr>
        <w:t>lmer J</w:t>
      </w:r>
      <w:r w:rsidR="00AD4165">
        <w:rPr>
          <w:rFonts w:ascii="Arial" w:eastAsia="ArialMT" w:hAnsi="Arial" w:cs="Arial"/>
          <w:sz w:val="22"/>
          <w:szCs w:val="22"/>
        </w:rPr>
        <w:t>anus liquid handler w</w:t>
      </w:r>
      <w:r w:rsidR="00AD4165" w:rsidRPr="003879E8">
        <w:rPr>
          <w:rFonts w:ascii="Arial" w:eastAsia="ArialMT" w:hAnsi="Arial" w:cs="Arial"/>
          <w:sz w:val="22"/>
          <w:szCs w:val="22"/>
        </w:rPr>
        <w:t>orkstation</w:t>
      </w:r>
      <w:r w:rsidRPr="00E7558A">
        <w:rPr>
          <w:rFonts w:ascii="Arial" w:eastAsia="ArialMT" w:hAnsi="Arial" w:cs="Arial"/>
          <w:sz w:val="22"/>
          <w:szCs w:val="22"/>
        </w:rPr>
        <w:t>.</w:t>
      </w:r>
      <w:r>
        <w:rPr>
          <w:rFonts w:ascii="Arial" w:eastAsia="ArialMT" w:hAnsi="Arial" w:cs="Arial"/>
          <w:sz w:val="22"/>
          <w:szCs w:val="22"/>
        </w:rPr>
        <w:t xml:space="preserve"> T</w:t>
      </w:r>
      <w:r w:rsidRPr="00E7558A">
        <w:rPr>
          <w:rFonts w:ascii="Arial" w:eastAsia="ArialMT" w:hAnsi="Arial" w:cs="Arial"/>
          <w:sz w:val="22"/>
          <w:szCs w:val="22"/>
        </w:rPr>
        <w:t xml:space="preserve">here are </w:t>
      </w:r>
      <w:r>
        <w:rPr>
          <w:rFonts w:ascii="Arial" w:eastAsia="ArialMT" w:hAnsi="Arial" w:cs="Arial"/>
          <w:sz w:val="22"/>
          <w:szCs w:val="22"/>
        </w:rPr>
        <w:t xml:space="preserve">also </w:t>
      </w:r>
      <w:r w:rsidRPr="00E7558A">
        <w:rPr>
          <w:rFonts w:ascii="Arial" w:eastAsia="ArialMT" w:hAnsi="Arial" w:cs="Arial"/>
          <w:sz w:val="22"/>
          <w:szCs w:val="22"/>
        </w:rPr>
        <w:t xml:space="preserve">several major instruments in the College of Pharmacy Building </w:t>
      </w:r>
      <w:r>
        <w:rPr>
          <w:rFonts w:ascii="Arial" w:eastAsia="ArialMT" w:hAnsi="Arial" w:cs="Arial"/>
          <w:sz w:val="22"/>
          <w:szCs w:val="22"/>
        </w:rPr>
        <w:t xml:space="preserve">that are part of a College of Pharmacy-supported shared analytical facility </w:t>
      </w:r>
      <w:r w:rsidRPr="00E7558A">
        <w:rPr>
          <w:rFonts w:ascii="Arial" w:eastAsia="ArialMT" w:hAnsi="Arial" w:cs="Arial"/>
          <w:sz w:val="22"/>
          <w:szCs w:val="22"/>
        </w:rPr>
        <w:t xml:space="preserve">that the MedChem core has full access to, including NMR spectrometers (Varian Inova 500 and Bruker Avance III 400), LC/MS (Waters Xevo G2-S QTOF with Waters Acquity UPLC and SCIEX TQ5500 with Shimadzu Nexera XR HPLC), and other analytical instruments, such as IR spectrometers, UV spectrometers, and a polarimeter. </w:t>
      </w:r>
      <w:r w:rsidR="00DD2748">
        <w:rPr>
          <w:rFonts w:ascii="Arial" w:eastAsia="ArialMT" w:hAnsi="Arial" w:cs="Arial"/>
          <w:sz w:val="22"/>
          <w:szCs w:val="22"/>
        </w:rPr>
        <w:t>A</w:t>
      </w:r>
      <w:r w:rsidRPr="002D15AF">
        <w:rPr>
          <w:rFonts w:ascii="Arial" w:eastAsia="ArialMT" w:hAnsi="Arial" w:cs="Arial"/>
          <w:sz w:val="22"/>
          <w:szCs w:val="22"/>
        </w:rPr>
        <w:t xml:space="preserve"> service center dedicated to the generation of new products and raw data, the core provides one-on-one consultation with internal investigators at no charge, as well as services for literature searches, oral research reports and consulting on experimental design. </w:t>
      </w:r>
    </w:p>
    <w:p w14:paraId="3BE526A2" w14:textId="77777777" w:rsidR="00550689" w:rsidRPr="002D15AF" w:rsidRDefault="00550689" w:rsidP="00C93140">
      <w:pPr>
        <w:jc w:val="both"/>
        <w:rPr>
          <w:rFonts w:ascii="Arial" w:eastAsia="ArialMT" w:hAnsi="Arial" w:cs="Arial"/>
          <w:sz w:val="22"/>
          <w:szCs w:val="22"/>
        </w:rPr>
      </w:pPr>
    </w:p>
    <w:p w14:paraId="033735F0" w14:textId="2540A775" w:rsidR="00F122FA" w:rsidRDefault="00F122FA" w:rsidP="00F122FA">
      <w:pPr>
        <w:jc w:val="both"/>
        <w:rPr>
          <w:rFonts w:ascii="Arial" w:hAnsi="Arial" w:cs="Arial"/>
          <w:b/>
          <w:sz w:val="22"/>
          <w:szCs w:val="22"/>
        </w:rPr>
      </w:pPr>
      <w:r>
        <w:rPr>
          <w:rFonts w:ascii="Arial" w:hAnsi="Arial" w:cs="Arial"/>
          <w:b/>
          <w:sz w:val="22"/>
          <w:szCs w:val="22"/>
        </w:rPr>
        <w:t>The Advanced Imaging Core</w:t>
      </w:r>
      <w:r w:rsidR="00EE34F1">
        <w:rPr>
          <w:rFonts w:ascii="Arial" w:hAnsi="Arial" w:cs="Arial"/>
          <w:b/>
          <w:sz w:val="22"/>
          <w:szCs w:val="22"/>
        </w:rPr>
        <w:t xml:space="preserve"> (AIC)</w:t>
      </w:r>
      <w:r>
        <w:rPr>
          <w:rFonts w:ascii="Arial" w:hAnsi="Arial" w:cs="Arial"/>
          <w:b/>
          <w:sz w:val="22"/>
          <w:szCs w:val="22"/>
        </w:rPr>
        <w:t xml:space="preserve">: </w:t>
      </w:r>
      <w:r w:rsidR="00CC7E8F">
        <w:rPr>
          <w:rFonts w:ascii="Arial" w:hAnsi="Arial" w:cs="Arial"/>
          <w:b/>
          <w:sz w:val="22"/>
          <w:szCs w:val="22"/>
        </w:rPr>
        <w:t>Rachel E. Helms, P</w:t>
      </w:r>
      <w:r w:rsidR="00817BF5">
        <w:rPr>
          <w:rFonts w:ascii="Arial" w:hAnsi="Arial" w:cs="Arial"/>
          <w:b/>
          <w:sz w:val="22"/>
          <w:szCs w:val="22"/>
        </w:rPr>
        <w:t>h</w:t>
      </w:r>
      <w:r w:rsidR="00CC7E8F">
        <w:rPr>
          <w:rFonts w:ascii="Arial" w:hAnsi="Arial" w:cs="Arial"/>
          <w:b/>
          <w:sz w:val="22"/>
          <w:szCs w:val="22"/>
        </w:rPr>
        <w:t>D</w:t>
      </w:r>
      <w:r>
        <w:rPr>
          <w:rFonts w:ascii="Arial" w:hAnsi="Arial" w:cs="Arial"/>
          <w:b/>
          <w:sz w:val="22"/>
          <w:szCs w:val="22"/>
        </w:rPr>
        <w:t xml:space="preserve">, </w:t>
      </w:r>
      <w:r w:rsidR="00CC7E8F">
        <w:rPr>
          <w:rFonts w:ascii="Arial" w:hAnsi="Arial" w:cs="Arial"/>
          <w:b/>
          <w:sz w:val="22"/>
          <w:szCs w:val="22"/>
        </w:rPr>
        <w:t>Microscopy Manager</w:t>
      </w:r>
    </w:p>
    <w:p w14:paraId="0661C344" w14:textId="5CB707B0" w:rsidR="00BB080C" w:rsidRPr="00817BF5" w:rsidRDefault="00F122FA" w:rsidP="00657157">
      <w:pPr>
        <w:jc w:val="both"/>
        <w:rPr>
          <w:rFonts w:ascii="Arial" w:hAnsi="Arial" w:cs="Arial"/>
          <w:bCs/>
          <w:sz w:val="22"/>
          <w:szCs w:val="22"/>
        </w:rPr>
      </w:pPr>
      <w:r>
        <w:rPr>
          <w:rFonts w:ascii="Arial" w:hAnsi="Arial" w:cs="Arial"/>
          <w:bCs/>
          <w:sz w:val="22"/>
          <w:szCs w:val="22"/>
        </w:rPr>
        <w:t xml:space="preserve">The </w:t>
      </w:r>
      <w:r w:rsidR="00677F0B">
        <w:rPr>
          <w:rFonts w:ascii="Arial" w:hAnsi="Arial" w:cs="Arial"/>
          <w:bCs/>
          <w:sz w:val="22"/>
          <w:szCs w:val="22"/>
        </w:rPr>
        <w:t>AIC</w:t>
      </w:r>
      <w:r>
        <w:rPr>
          <w:rFonts w:ascii="Arial" w:hAnsi="Arial" w:cs="Arial"/>
          <w:bCs/>
          <w:sz w:val="22"/>
          <w:szCs w:val="22"/>
        </w:rPr>
        <w:t xml:space="preserve"> is the newest institutional core facility on campus. Its mission is to </w:t>
      </w:r>
      <w:r w:rsidR="00677F0B">
        <w:rPr>
          <w:rFonts w:ascii="Arial" w:hAnsi="Arial" w:cs="Arial"/>
          <w:bCs/>
          <w:sz w:val="22"/>
          <w:szCs w:val="22"/>
        </w:rPr>
        <w:t>accelerate research</w:t>
      </w:r>
      <w:r w:rsidR="0069736C">
        <w:rPr>
          <w:rFonts w:ascii="Arial" w:hAnsi="Arial" w:cs="Arial"/>
          <w:bCs/>
          <w:sz w:val="22"/>
          <w:szCs w:val="22"/>
        </w:rPr>
        <w:t xml:space="preserve"> </w:t>
      </w:r>
      <w:r w:rsidR="00677F0B">
        <w:rPr>
          <w:rFonts w:ascii="Arial" w:hAnsi="Arial" w:cs="Arial"/>
          <w:bCs/>
          <w:sz w:val="22"/>
          <w:szCs w:val="22"/>
        </w:rPr>
        <w:t xml:space="preserve">at UTHSC and surrounding institutions by providing super-resolution microscopy </w:t>
      </w:r>
      <w:r>
        <w:rPr>
          <w:rFonts w:ascii="Arial" w:hAnsi="Arial" w:cs="Arial"/>
          <w:bCs/>
          <w:sz w:val="22"/>
          <w:szCs w:val="22"/>
        </w:rPr>
        <w:t xml:space="preserve">imaging </w:t>
      </w:r>
      <w:r w:rsidR="00677F0B">
        <w:rPr>
          <w:rFonts w:ascii="Arial" w:hAnsi="Arial" w:cs="Arial"/>
          <w:bCs/>
          <w:sz w:val="22"/>
          <w:szCs w:val="22"/>
        </w:rPr>
        <w:t>services through state-of-the-art equipment</w:t>
      </w:r>
      <w:r w:rsidR="0008383D">
        <w:rPr>
          <w:rFonts w:ascii="Arial" w:hAnsi="Arial" w:cs="Arial"/>
          <w:bCs/>
          <w:sz w:val="22"/>
          <w:szCs w:val="22"/>
        </w:rPr>
        <w:t>,</w:t>
      </w:r>
      <w:r w:rsidR="00677F0B">
        <w:rPr>
          <w:rFonts w:ascii="Arial" w:hAnsi="Arial" w:cs="Arial"/>
          <w:bCs/>
          <w:sz w:val="22"/>
          <w:szCs w:val="22"/>
        </w:rPr>
        <w:t xml:space="preserve"> and expertise</w:t>
      </w:r>
      <w:r>
        <w:rPr>
          <w:rFonts w:ascii="Arial" w:hAnsi="Arial" w:cs="Arial"/>
          <w:bCs/>
          <w:sz w:val="22"/>
          <w:szCs w:val="22"/>
        </w:rPr>
        <w:t xml:space="preserve"> support</w:t>
      </w:r>
      <w:r w:rsidR="0008383D">
        <w:rPr>
          <w:rFonts w:ascii="Arial" w:hAnsi="Arial" w:cs="Arial"/>
          <w:bCs/>
          <w:sz w:val="22"/>
          <w:szCs w:val="22"/>
        </w:rPr>
        <w:t>ing</w:t>
      </w:r>
      <w:r>
        <w:rPr>
          <w:rFonts w:ascii="Arial" w:hAnsi="Arial" w:cs="Arial"/>
          <w:bCs/>
          <w:sz w:val="22"/>
          <w:szCs w:val="22"/>
        </w:rPr>
        <w:t xml:space="preserve"> basic and translational research. </w:t>
      </w:r>
      <w:r w:rsidR="00EE34F1">
        <w:rPr>
          <w:rFonts w:ascii="Arial" w:hAnsi="Arial" w:cs="Arial"/>
          <w:bCs/>
          <w:sz w:val="22"/>
          <w:szCs w:val="22"/>
        </w:rPr>
        <w:t xml:space="preserve">Super resolution microscopy is the focus of this core. </w:t>
      </w:r>
      <w:r>
        <w:rPr>
          <w:rFonts w:ascii="Arial" w:hAnsi="Arial" w:cs="Arial"/>
          <w:iCs/>
          <w:sz w:val="22"/>
          <w:szCs w:val="22"/>
        </w:rPr>
        <w:t xml:space="preserve">A Zeiss Elyra 7 with lattice structured illumination microscopy (SIM) </w:t>
      </w:r>
      <w:r w:rsidR="00677F0B">
        <w:rPr>
          <w:rFonts w:ascii="Arial" w:hAnsi="Arial" w:cs="Arial"/>
          <w:iCs/>
          <w:sz w:val="22"/>
          <w:szCs w:val="22"/>
        </w:rPr>
        <w:t>is</w:t>
      </w:r>
      <w:r>
        <w:rPr>
          <w:rFonts w:ascii="Arial" w:hAnsi="Arial" w:cs="Arial"/>
          <w:iCs/>
          <w:sz w:val="22"/>
          <w:szCs w:val="22"/>
        </w:rPr>
        <w:t xml:space="preserve"> available to image specimens </w:t>
      </w:r>
      <w:r w:rsidR="005104F1">
        <w:rPr>
          <w:rFonts w:ascii="Arial" w:hAnsi="Arial" w:cs="Arial"/>
          <w:iCs/>
          <w:sz w:val="22"/>
          <w:szCs w:val="22"/>
        </w:rPr>
        <w:t>from</w:t>
      </w:r>
      <w:r>
        <w:rPr>
          <w:rFonts w:ascii="Arial" w:hAnsi="Arial" w:cs="Arial"/>
          <w:iCs/>
          <w:sz w:val="22"/>
          <w:szCs w:val="22"/>
        </w:rPr>
        <w:t xml:space="preserve"> </w:t>
      </w:r>
      <w:r w:rsidR="00677F0B">
        <w:rPr>
          <w:rFonts w:ascii="Arial" w:hAnsi="Arial" w:cs="Arial"/>
          <w:iCs/>
          <w:sz w:val="22"/>
          <w:szCs w:val="22"/>
        </w:rPr>
        <w:t>fixed and l</w:t>
      </w:r>
      <w:r>
        <w:rPr>
          <w:rFonts w:ascii="Arial" w:hAnsi="Arial" w:cs="Arial"/>
          <w:iCs/>
          <w:sz w:val="22"/>
          <w:szCs w:val="22"/>
        </w:rPr>
        <w:t xml:space="preserve">iving samples, with </w:t>
      </w:r>
      <w:r w:rsidR="00677F0B">
        <w:rPr>
          <w:rFonts w:ascii="Arial" w:hAnsi="Arial" w:cs="Arial"/>
          <w:iCs/>
          <w:sz w:val="22"/>
          <w:szCs w:val="22"/>
        </w:rPr>
        <w:t xml:space="preserve">up to </w:t>
      </w:r>
      <w:r w:rsidR="0008383D">
        <w:rPr>
          <w:rFonts w:ascii="Arial" w:hAnsi="Arial" w:cs="Arial"/>
          <w:iCs/>
          <w:sz w:val="22"/>
          <w:szCs w:val="22"/>
        </w:rPr>
        <w:t>four</w:t>
      </w:r>
      <w:r w:rsidR="00677F0B">
        <w:rPr>
          <w:rFonts w:ascii="Arial" w:hAnsi="Arial" w:cs="Arial"/>
          <w:iCs/>
          <w:sz w:val="22"/>
          <w:szCs w:val="22"/>
        </w:rPr>
        <w:t xml:space="preserve"> colors at high speed (up to 255 fps) and high resolution (up to 20nm in xy and 50nm in z). </w:t>
      </w:r>
      <w:r>
        <w:rPr>
          <w:rFonts w:ascii="Arial" w:hAnsi="Arial" w:cs="Arial"/>
          <w:iCs/>
          <w:sz w:val="22"/>
          <w:szCs w:val="22"/>
        </w:rPr>
        <w:t xml:space="preserve">Single molecule localization microscopy </w:t>
      </w:r>
      <w:r w:rsidR="008761D7">
        <w:rPr>
          <w:rFonts w:ascii="Arial" w:hAnsi="Arial" w:cs="Arial"/>
          <w:iCs/>
          <w:sz w:val="22"/>
          <w:szCs w:val="22"/>
        </w:rPr>
        <w:t xml:space="preserve">(SMLM) </w:t>
      </w:r>
      <w:r>
        <w:rPr>
          <w:rFonts w:ascii="Arial" w:hAnsi="Arial" w:cs="Arial"/>
          <w:iCs/>
          <w:sz w:val="22"/>
          <w:szCs w:val="22"/>
        </w:rPr>
        <w:t xml:space="preserve">is possible using 3D-PALM </w:t>
      </w:r>
      <w:r w:rsidR="008761D7">
        <w:rPr>
          <w:rFonts w:ascii="Arial" w:hAnsi="Arial" w:cs="Arial"/>
          <w:iCs/>
          <w:sz w:val="22"/>
          <w:szCs w:val="22"/>
        </w:rPr>
        <w:t xml:space="preserve">or </w:t>
      </w:r>
      <w:r w:rsidR="00677F0B">
        <w:rPr>
          <w:rFonts w:ascii="Arial" w:hAnsi="Arial" w:cs="Arial"/>
          <w:iCs/>
          <w:sz w:val="22"/>
          <w:szCs w:val="22"/>
        </w:rPr>
        <w:t>d</w:t>
      </w:r>
      <w:r w:rsidR="008761D7">
        <w:rPr>
          <w:rFonts w:ascii="Arial" w:hAnsi="Arial" w:cs="Arial"/>
          <w:iCs/>
          <w:sz w:val="22"/>
          <w:szCs w:val="22"/>
        </w:rPr>
        <w:t xml:space="preserve">STORM </w:t>
      </w:r>
      <w:r>
        <w:rPr>
          <w:rFonts w:ascii="Arial" w:hAnsi="Arial" w:cs="Arial"/>
          <w:iCs/>
          <w:sz w:val="22"/>
          <w:szCs w:val="22"/>
        </w:rPr>
        <w:t xml:space="preserve">techniques. </w:t>
      </w:r>
      <w:r w:rsidR="00AE79DF">
        <w:rPr>
          <w:rFonts w:ascii="Arial" w:hAnsi="Arial" w:cs="Arial"/>
          <w:iCs/>
          <w:sz w:val="22"/>
          <w:szCs w:val="22"/>
        </w:rPr>
        <w:t>Data are analyzed using a</w:t>
      </w:r>
      <w:r>
        <w:rPr>
          <w:rFonts w:ascii="Arial" w:hAnsi="Arial" w:cs="Arial"/>
          <w:iCs/>
          <w:sz w:val="22"/>
          <w:szCs w:val="22"/>
        </w:rPr>
        <w:t xml:space="preserve"> ZEN </w:t>
      </w:r>
      <w:r w:rsidR="00287CD5">
        <w:rPr>
          <w:rFonts w:ascii="Arial" w:hAnsi="Arial" w:cs="Arial"/>
          <w:iCs/>
          <w:sz w:val="22"/>
          <w:szCs w:val="22"/>
        </w:rPr>
        <w:t xml:space="preserve">3.0 </w:t>
      </w:r>
      <w:r w:rsidR="00AE79DF">
        <w:rPr>
          <w:rFonts w:ascii="Arial" w:hAnsi="Arial" w:cs="Arial"/>
          <w:iCs/>
          <w:sz w:val="22"/>
          <w:szCs w:val="22"/>
        </w:rPr>
        <w:t xml:space="preserve">SR </w:t>
      </w:r>
      <w:r w:rsidR="00287CD5">
        <w:rPr>
          <w:rFonts w:ascii="Arial" w:hAnsi="Arial" w:cs="Arial"/>
          <w:iCs/>
          <w:sz w:val="22"/>
          <w:szCs w:val="22"/>
        </w:rPr>
        <w:t>workstation</w:t>
      </w:r>
      <w:r w:rsidR="008761D7">
        <w:rPr>
          <w:rFonts w:ascii="Arial" w:hAnsi="Arial" w:cs="Arial"/>
          <w:iCs/>
          <w:sz w:val="22"/>
          <w:szCs w:val="22"/>
        </w:rPr>
        <w:t xml:space="preserve"> equipped with Zen Black software</w:t>
      </w:r>
      <w:r w:rsidR="00AE79DF">
        <w:rPr>
          <w:rFonts w:ascii="Arial" w:hAnsi="Arial" w:cs="Arial"/>
          <w:iCs/>
          <w:sz w:val="22"/>
          <w:szCs w:val="22"/>
        </w:rPr>
        <w:t xml:space="preserve">. </w:t>
      </w:r>
      <w:r w:rsidR="00677F0B">
        <w:rPr>
          <w:rFonts w:ascii="Arial" w:hAnsi="Arial" w:cs="Arial"/>
          <w:iCs/>
          <w:sz w:val="22"/>
          <w:szCs w:val="22"/>
        </w:rPr>
        <w:t>AIC</w:t>
      </w:r>
      <w:r w:rsidR="00AE79DF">
        <w:rPr>
          <w:rFonts w:ascii="Arial" w:hAnsi="Arial" w:cs="Arial"/>
          <w:iCs/>
          <w:sz w:val="22"/>
          <w:szCs w:val="22"/>
        </w:rPr>
        <w:t xml:space="preserve"> s</w:t>
      </w:r>
      <w:r w:rsidR="00AE79DF" w:rsidRPr="00657157">
        <w:rPr>
          <w:rFonts w:ascii="Arial" w:hAnsi="Arial" w:cs="Arial"/>
          <w:iCs/>
          <w:sz w:val="22"/>
          <w:szCs w:val="22"/>
        </w:rPr>
        <w:t xml:space="preserve">ervices include hands-on training at an hourly rate, </w:t>
      </w:r>
      <w:r w:rsidR="00AE79DF">
        <w:rPr>
          <w:rFonts w:ascii="Arial" w:hAnsi="Arial" w:cs="Arial"/>
          <w:iCs/>
          <w:sz w:val="22"/>
          <w:szCs w:val="22"/>
        </w:rPr>
        <w:t>assisted sample imaging</w:t>
      </w:r>
      <w:r w:rsidR="005104F1">
        <w:rPr>
          <w:rFonts w:ascii="Arial" w:hAnsi="Arial" w:cs="Arial"/>
          <w:iCs/>
          <w:sz w:val="22"/>
          <w:szCs w:val="22"/>
        </w:rPr>
        <w:t xml:space="preserve">, </w:t>
      </w:r>
      <w:r w:rsidR="00AE79DF">
        <w:rPr>
          <w:rFonts w:ascii="Arial" w:hAnsi="Arial" w:cs="Arial"/>
          <w:iCs/>
          <w:sz w:val="22"/>
          <w:szCs w:val="22"/>
        </w:rPr>
        <w:t xml:space="preserve">assisted </w:t>
      </w:r>
      <w:r w:rsidR="00AE79DF" w:rsidRPr="00657157">
        <w:rPr>
          <w:rFonts w:ascii="Arial" w:hAnsi="Arial" w:cs="Arial"/>
          <w:iCs/>
          <w:sz w:val="22"/>
          <w:szCs w:val="22"/>
        </w:rPr>
        <w:t xml:space="preserve">raw data analysis, </w:t>
      </w:r>
      <w:r w:rsidR="00AE79DF">
        <w:rPr>
          <w:rFonts w:ascii="Arial" w:hAnsi="Arial" w:cs="Arial"/>
          <w:iCs/>
          <w:sz w:val="22"/>
          <w:szCs w:val="22"/>
        </w:rPr>
        <w:t xml:space="preserve">and </w:t>
      </w:r>
      <w:r w:rsidR="00AE79DF" w:rsidRPr="00657157">
        <w:rPr>
          <w:rFonts w:ascii="Arial" w:hAnsi="Arial" w:cs="Arial"/>
          <w:iCs/>
          <w:sz w:val="22"/>
          <w:szCs w:val="22"/>
        </w:rPr>
        <w:t>consultations for study design</w:t>
      </w:r>
      <w:r w:rsidR="00AE79DF">
        <w:rPr>
          <w:rFonts w:ascii="Arial" w:hAnsi="Arial" w:cs="Arial"/>
          <w:iCs/>
          <w:sz w:val="22"/>
          <w:szCs w:val="22"/>
        </w:rPr>
        <w:t>.</w:t>
      </w:r>
    </w:p>
    <w:sectPr w:rsidR="00BB080C" w:rsidRPr="00817BF5" w:rsidSect="0076083C">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F238" w14:textId="77777777" w:rsidR="00AF5F52" w:rsidRDefault="00AF5F52" w:rsidP="0001278F">
      <w:r>
        <w:separator/>
      </w:r>
    </w:p>
  </w:endnote>
  <w:endnote w:type="continuationSeparator" w:id="0">
    <w:p w14:paraId="3248300F" w14:textId="77777777" w:rsidR="00AF5F52" w:rsidRDefault="00AF5F52" w:rsidP="0001278F">
      <w:r>
        <w:continuationSeparator/>
      </w:r>
    </w:p>
  </w:endnote>
  <w:endnote w:type="continuationNotice" w:id="1">
    <w:p w14:paraId="3F9EF923" w14:textId="77777777" w:rsidR="00AF5F52" w:rsidRDefault="00AF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604020202020204"/>
    <w:charset w:val="00"/>
    <w:family w:val="swiss"/>
    <w:pitch w:val="variable"/>
    <w:sig w:usb0="20000287" w:usb1="00000001" w:usb2="00000000" w:usb3="00000000" w:csb0="0000019F" w:csb1="00000000"/>
  </w:font>
  <w:font w:name="ArialMT">
    <w:altName w:val="SimSun"/>
    <w:panose1 w:val="020B0604020202020204"/>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E9FC" w14:textId="77777777" w:rsidR="00F3346D" w:rsidRDefault="00F3346D" w:rsidP="008D5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B5053" w14:textId="77777777" w:rsidR="00F3346D" w:rsidRDefault="00F33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9324" w14:textId="77777777" w:rsidR="00F3346D" w:rsidRPr="0001278F" w:rsidRDefault="00F3346D" w:rsidP="008D5645">
    <w:pPr>
      <w:pStyle w:val="Footer"/>
      <w:framePr w:wrap="around" w:vAnchor="text" w:hAnchor="margin" w:xAlign="center" w:y="1"/>
      <w:rPr>
        <w:rStyle w:val="PageNumber"/>
        <w:rFonts w:ascii="Arial" w:hAnsi="Arial" w:cs="Arial"/>
      </w:rPr>
    </w:pPr>
    <w:r w:rsidRPr="0001278F">
      <w:rPr>
        <w:rStyle w:val="PageNumber"/>
        <w:rFonts w:ascii="Arial" w:hAnsi="Arial" w:cs="Arial"/>
      </w:rPr>
      <w:fldChar w:fldCharType="begin"/>
    </w:r>
    <w:r w:rsidRPr="0001278F">
      <w:rPr>
        <w:rStyle w:val="PageNumber"/>
        <w:rFonts w:ascii="Arial" w:hAnsi="Arial" w:cs="Arial"/>
      </w:rPr>
      <w:instrText xml:space="preserve">PAGE  </w:instrText>
    </w:r>
    <w:r w:rsidRPr="0001278F">
      <w:rPr>
        <w:rStyle w:val="PageNumber"/>
        <w:rFonts w:ascii="Arial" w:hAnsi="Arial" w:cs="Arial"/>
      </w:rPr>
      <w:fldChar w:fldCharType="separate"/>
    </w:r>
    <w:r w:rsidR="00521B4C">
      <w:rPr>
        <w:rStyle w:val="PageNumber"/>
        <w:rFonts w:ascii="Arial" w:hAnsi="Arial" w:cs="Arial"/>
        <w:noProof/>
      </w:rPr>
      <w:t>3</w:t>
    </w:r>
    <w:r w:rsidRPr="0001278F">
      <w:rPr>
        <w:rStyle w:val="PageNumber"/>
        <w:rFonts w:ascii="Arial" w:hAnsi="Arial" w:cs="Arial"/>
      </w:rPr>
      <w:fldChar w:fldCharType="end"/>
    </w:r>
  </w:p>
  <w:p w14:paraId="65348F23" w14:textId="77777777" w:rsidR="00F3346D" w:rsidRDefault="00F3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593B" w14:textId="77777777" w:rsidR="00AF5F52" w:rsidRDefault="00AF5F52" w:rsidP="0001278F">
      <w:r>
        <w:separator/>
      </w:r>
    </w:p>
  </w:footnote>
  <w:footnote w:type="continuationSeparator" w:id="0">
    <w:p w14:paraId="31C11673" w14:textId="77777777" w:rsidR="00AF5F52" w:rsidRDefault="00AF5F52" w:rsidP="0001278F">
      <w:r>
        <w:continuationSeparator/>
      </w:r>
    </w:p>
  </w:footnote>
  <w:footnote w:type="continuationNotice" w:id="1">
    <w:p w14:paraId="7447A339" w14:textId="77777777" w:rsidR="00AF5F52" w:rsidRDefault="00AF5F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FA5"/>
    <w:rsid w:val="0000470C"/>
    <w:rsid w:val="00006434"/>
    <w:rsid w:val="000111BA"/>
    <w:rsid w:val="0001278F"/>
    <w:rsid w:val="00015989"/>
    <w:rsid w:val="000206E5"/>
    <w:rsid w:val="00036C33"/>
    <w:rsid w:val="00036FFF"/>
    <w:rsid w:val="00040196"/>
    <w:rsid w:val="00046B38"/>
    <w:rsid w:val="00050ACD"/>
    <w:rsid w:val="00070536"/>
    <w:rsid w:val="0007101F"/>
    <w:rsid w:val="00074EFC"/>
    <w:rsid w:val="0008383D"/>
    <w:rsid w:val="0009741B"/>
    <w:rsid w:val="0009789E"/>
    <w:rsid w:val="000A2997"/>
    <w:rsid w:val="000A70B5"/>
    <w:rsid w:val="000F32D5"/>
    <w:rsid w:val="000F331A"/>
    <w:rsid w:val="000F7898"/>
    <w:rsid w:val="00104ED4"/>
    <w:rsid w:val="001075D8"/>
    <w:rsid w:val="001115BA"/>
    <w:rsid w:val="00116A84"/>
    <w:rsid w:val="00117BBB"/>
    <w:rsid w:val="0012071B"/>
    <w:rsid w:val="001228A4"/>
    <w:rsid w:val="0012442A"/>
    <w:rsid w:val="00132AD6"/>
    <w:rsid w:val="00133702"/>
    <w:rsid w:val="001362D0"/>
    <w:rsid w:val="00145B17"/>
    <w:rsid w:val="0016443B"/>
    <w:rsid w:val="0016527A"/>
    <w:rsid w:val="001706E0"/>
    <w:rsid w:val="00172A27"/>
    <w:rsid w:val="0019569C"/>
    <w:rsid w:val="001A394F"/>
    <w:rsid w:val="001A4C85"/>
    <w:rsid w:val="001A66B3"/>
    <w:rsid w:val="001B3700"/>
    <w:rsid w:val="001B4D9E"/>
    <w:rsid w:val="001D63BC"/>
    <w:rsid w:val="001D78CA"/>
    <w:rsid w:val="001F09FF"/>
    <w:rsid w:val="001F4D4E"/>
    <w:rsid w:val="001F4D84"/>
    <w:rsid w:val="001F588E"/>
    <w:rsid w:val="00203C12"/>
    <w:rsid w:val="0020627D"/>
    <w:rsid w:val="00210B65"/>
    <w:rsid w:val="00211447"/>
    <w:rsid w:val="00212701"/>
    <w:rsid w:val="00217A87"/>
    <w:rsid w:val="00217AC9"/>
    <w:rsid w:val="00222BC7"/>
    <w:rsid w:val="002634ED"/>
    <w:rsid w:val="00264F1C"/>
    <w:rsid w:val="002759B2"/>
    <w:rsid w:val="00287CD5"/>
    <w:rsid w:val="00287F71"/>
    <w:rsid w:val="002A069E"/>
    <w:rsid w:val="002A288C"/>
    <w:rsid w:val="002D15AF"/>
    <w:rsid w:val="002D3CC7"/>
    <w:rsid w:val="002E6D98"/>
    <w:rsid w:val="002E741D"/>
    <w:rsid w:val="002E778D"/>
    <w:rsid w:val="002F0369"/>
    <w:rsid w:val="002F6DBE"/>
    <w:rsid w:val="00305626"/>
    <w:rsid w:val="00305DBB"/>
    <w:rsid w:val="00312614"/>
    <w:rsid w:val="0034510B"/>
    <w:rsid w:val="0034531B"/>
    <w:rsid w:val="00362519"/>
    <w:rsid w:val="003A3216"/>
    <w:rsid w:val="003A431F"/>
    <w:rsid w:val="003A6D52"/>
    <w:rsid w:val="003A7DF8"/>
    <w:rsid w:val="003B1048"/>
    <w:rsid w:val="003C1F17"/>
    <w:rsid w:val="003D0971"/>
    <w:rsid w:val="003F0BF3"/>
    <w:rsid w:val="003F2678"/>
    <w:rsid w:val="004004C8"/>
    <w:rsid w:val="00400D94"/>
    <w:rsid w:val="004032F1"/>
    <w:rsid w:val="00406D3D"/>
    <w:rsid w:val="004117DD"/>
    <w:rsid w:val="0042120B"/>
    <w:rsid w:val="004521A3"/>
    <w:rsid w:val="00452C8D"/>
    <w:rsid w:val="004563FD"/>
    <w:rsid w:val="00470E04"/>
    <w:rsid w:val="004777EF"/>
    <w:rsid w:val="004913F6"/>
    <w:rsid w:val="004926A9"/>
    <w:rsid w:val="00492A50"/>
    <w:rsid w:val="004A02A4"/>
    <w:rsid w:val="004A11FA"/>
    <w:rsid w:val="004A3837"/>
    <w:rsid w:val="004B5221"/>
    <w:rsid w:val="004D033A"/>
    <w:rsid w:val="004E0E36"/>
    <w:rsid w:val="004E5143"/>
    <w:rsid w:val="004E5445"/>
    <w:rsid w:val="004F1E1B"/>
    <w:rsid w:val="004F4DDB"/>
    <w:rsid w:val="005104F1"/>
    <w:rsid w:val="005114AC"/>
    <w:rsid w:val="00512B97"/>
    <w:rsid w:val="00521B4C"/>
    <w:rsid w:val="00537CBF"/>
    <w:rsid w:val="00543B07"/>
    <w:rsid w:val="005450DC"/>
    <w:rsid w:val="00546A6D"/>
    <w:rsid w:val="00550689"/>
    <w:rsid w:val="00551E39"/>
    <w:rsid w:val="00552270"/>
    <w:rsid w:val="00554835"/>
    <w:rsid w:val="00555CB4"/>
    <w:rsid w:val="0056648B"/>
    <w:rsid w:val="005670D7"/>
    <w:rsid w:val="00567F65"/>
    <w:rsid w:val="00570701"/>
    <w:rsid w:val="00570BB8"/>
    <w:rsid w:val="005752BD"/>
    <w:rsid w:val="005828C3"/>
    <w:rsid w:val="00593D2F"/>
    <w:rsid w:val="005940AE"/>
    <w:rsid w:val="005A1588"/>
    <w:rsid w:val="005B5ADE"/>
    <w:rsid w:val="005C034D"/>
    <w:rsid w:val="005D0E6C"/>
    <w:rsid w:val="005D1A00"/>
    <w:rsid w:val="005D1FF0"/>
    <w:rsid w:val="005E6BAC"/>
    <w:rsid w:val="005F1A3E"/>
    <w:rsid w:val="005F1E8B"/>
    <w:rsid w:val="005F3EC8"/>
    <w:rsid w:val="00604DBD"/>
    <w:rsid w:val="00606093"/>
    <w:rsid w:val="006062F5"/>
    <w:rsid w:val="00612D03"/>
    <w:rsid w:val="00625362"/>
    <w:rsid w:val="00633016"/>
    <w:rsid w:val="006334E5"/>
    <w:rsid w:val="006371D0"/>
    <w:rsid w:val="00647CE6"/>
    <w:rsid w:val="00651409"/>
    <w:rsid w:val="00652832"/>
    <w:rsid w:val="00657157"/>
    <w:rsid w:val="00663385"/>
    <w:rsid w:val="006648B1"/>
    <w:rsid w:val="00677F0B"/>
    <w:rsid w:val="0069736C"/>
    <w:rsid w:val="006A0326"/>
    <w:rsid w:val="006A0652"/>
    <w:rsid w:val="006A79B4"/>
    <w:rsid w:val="006B0A8F"/>
    <w:rsid w:val="006B13C6"/>
    <w:rsid w:val="006B6F7B"/>
    <w:rsid w:val="006C6AA5"/>
    <w:rsid w:val="006D1765"/>
    <w:rsid w:val="006D5C0B"/>
    <w:rsid w:val="006E027A"/>
    <w:rsid w:val="006E2171"/>
    <w:rsid w:val="006E5E76"/>
    <w:rsid w:val="006E7BF5"/>
    <w:rsid w:val="007046A7"/>
    <w:rsid w:val="007253F0"/>
    <w:rsid w:val="0073282C"/>
    <w:rsid w:val="0073307E"/>
    <w:rsid w:val="00742308"/>
    <w:rsid w:val="007441D8"/>
    <w:rsid w:val="0075053E"/>
    <w:rsid w:val="00756D9C"/>
    <w:rsid w:val="00756DB0"/>
    <w:rsid w:val="0076083C"/>
    <w:rsid w:val="00765548"/>
    <w:rsid w:val="007706A0"/>
    <w:rsid w:val="007727D0"/>
    <w:rsid w:val="00772D02"/>
    <w:rsid w:val="0078110C"/>
    <w:rsid w:val="00786371"/>
    <w:rsid w:val="0079667C"/>
    <w:rsid w:val="007A179B"/>
    <w:rsid w:val="007B51B9"/>
    <w:rsid w:val="007C49BC"/>
    <w:rsid w:val="007C4EC6"/>
    <w:rsid w:val="007D0E6D"/>
    <w:rsid w:val="007D4F81"/>
    <w:rsid w:val="007E197B"/>
    <w:rsid w:val="007E3419"/>
    <w:rsid w:val="007E6528"/>
    <w:rsid w:val="007F560F"/>
    <w:rsid w:val="007F79ED"/>
    <w:rsid w:val="00806EEF"/>
    <w:rsid w:val="0081222A"/>
    <w:rsid w:val="00817BF5"/>
    <w:rsid w:val="0082453A"/>
    <w:rsid w:val="008261BC"/>
    <w:rsid w:val="00836748"/>
    <w:rsid w:val="00836D9D"/>
    <w:rsid w:val="0084523F"/>
    <w:rsid w:val="008454CF"/>
    <w:rsid w:val="00855683"/>
    <w:rsid w:val="0087048A"/>
    <w:rsid w:val="00871F4E"/>
    <w:rsid w:val="008761D7"/>
    <w:rsid w:val="0088660D"/>
    <w:rsid w:val="008964E2"/>
    <w:rsid w:val="008B7E28"/>
    <w:rsid w:val="008C3522"/>
    <w:rsid w:val="008D5465"/>
    <w:rsid w:val="008D5645"/>
    <w:rsid w:val="008D66B5"/>
    <w:rsid w:val="008E49B6"/>
    <w:rsid w:val="008F7466"/>
    <w:rsid w:val="009011CB"/>
    <w:rsid w:val="00902C47"/>
    <w:rsid w:val="00903A2E"/>
    <w:rsid w:val="00904BB3"/>
    <w:rsid w:val="009102E6"/>
    <w:rsid w:val="00920AEC"/>
    <w:rsid w:val="00921A12"/>
    <w:rsid w:val="0092621A"/>
    <w:rsid w:val="0093116D"/>
    <w:rsid w:val="00932C1D"/>
    <w:rsid w:val="00934CC3"/>
    <w:rsid w:val="00934E3C"/>
    <w:rsid w:val="00945CFE"/>
    <w:rsid w:val="00951C20"/>
    <w:rsid w:val="00952682"/>
    <w:rsid w:val="00955C6E"/>
    <w:rsid w:val="009562F5"/>
    <w:rsid w:val="00964069"/>
    <w:rsid w:val="00974432"/>
    <w:rsid w:val="00976474"/>
    <w:rsid w:val="00982787"/>
    <w:rsid w:val="00983FDF"/>
    <w:rsid w:val="009B1037"/>
    <w:rsid w:val="009C18EA"/>
    <w:rsid w:val="009C3426"/>
    <w:rsid w:val="009D786B"/>
    <w:rsid w:val="009E146C"/>
    <w:rsid w:val="009F023A"/>
    <w:rsid w:val="00A0484D"/>
    <w:rsid w:val="00A07B8D"/>
    <w:rsid w:val="00A14600"/>
    <w:rsid w:val="00A25B4C"/>
    <w:rsid w:val="00A26AA0"/>
    <w:rsid w:val="00A33D05"/>
    <w:rsid w:val="00A34D4D"/>
    <w:rsid w:val="00A35811"/>
    <w:rsid w:val="00A46519"/>
    <w:rsid w:val="00A60DBB"/>
    <w:rsid w:val="00A876A3"/>
    <w:rsid w:val="00AA43C3"/>
    <w:rsid w:val="00AA6330"/>
    <w:rsid w:val="00AB1920"/>
    <w:rsid w:val="00AD4165"/>
    <w:rsid w:val="00AD4B43"/>
    <w:rsid w:val="00AE29B4"/>
    <w:rsid w:val="00AE79DF"/>
    <w:rsid w:val="00AF5F52"/>
    <w:rsid w:val="00B01EA2"/>
    <w:rsid w:val="00B05F41"/>
    <w:rsid w:val="00B161B1"/>
    <w:rsid w:val="00B220F9"/>
    <w:rsid w:val="00B24484"/>
    <w:rsid w:val="00B34A00"/>
    <w:rsid w:val="00B37519"/>
    <w:rsid w:val="00B45DD9"/>
    <w:rsid w:val="00B57502"/>
    <w:rsid w:val="00B84AD7"/>
    <w:rsid w:val="00BA1DE4"/>
    <w:rsid w:val="00BA4BE3"/>
    <w:rsid w:val="00BB080C"/>
    <w:rsid w:val="00BC069A"/>
    <w:rsid w:val="00BC1410"/>
    <w:rsid w:val="00BD432B"/>
    <w:rsid w:val="00BE3588"/>
    <w:rsid w:val="00BE72BA"/>
    <w:rsid w:val="00C2053C"/>
    <w:rsid w:val="00C24820"/>
    <w:rsid w:val="00C345D0"/>
    <w:rsid w:val="00C35ADB"/>
    <w:rsid w:val="00C46082"/>
    <w:rsid w:val="00C66F86"/>
    <w:rsid w:val="00C708FE"/>
    <w:rsid w:val="00C721F5"/>
    <w:rsid w:val="00C827CF"/>
    <w:rsid w:val="00C83359"/>
    <w:rsid w:val="00C84F5A"/>
    <w:rsid w:val="00C93140"/>
    <w:rsid w:val="00CA5F1F"/>
    <w:rsid w:val="00CB0FFC"/>
    <w:rsid w:val="00CB2909"/>
    <w:rsid w:val="00CB4D94"/>
    <w:rsid w:val="00CB5A35"/>
    <w:rsid w:val="00CC7E8F"/>
    <w:rsid w:val="00CD0558"/>
    <w:rsid w:val="00CD1C22"/>
    <w:rsid w:val="00CD32C7"/>
    <w:rsid w:val="00CE12B3"/>
    <w:rsid w:val="00D10407"/>
    <w:rsid w:val="00D20D46"/>
    <w:rsid w:val="00D34D76"/>
    <w:rsid w:val="00D36C92"/>
    <w:rsid w:val="00D3701C"/>
    <w:rsid w:val="00D413FB"/>
    <w:rsid w:val="00D426D8"/>
    <w:rsid w:val="00D43D1D"/>
    <w:rsid w:val="00D4419E"/>
    <w:rsid w:val="00D66D3D"/>
    <w:rsid w:val="00D94531"/>
    <w:rsid w:val="00D94FB4"/>
    <w:rsid w:val="00DA6A9D"/>
    <w:rsid w:val="00DB4DFE"/>
    <w:rsid w:val="00DC4D2C"/>
    <w:rsid w:val="00DD1ECE"/>
    <w:rsid w:val="00DD2748"/>
    <w:rsid w:val="00DE1F0C"/>
    <w:rsid w:val="00DE6AFA"/>
    <w:rsid w:val="00E06D56"/>
    <w:rsid w:val="00E10B3F"/>
    <w:rsid w:val="00E15C0E"/>
    <w:rsid w:val="00E259DC"/>
    <w:rsid w:val="00E30BD5"/>
    <w:rsid w:val="00E40EA0"/>
    <w:rsid w:val="00E45C87"/>
    <w:rsid w:val="00E54925"/>
    <w:rsid w:val="00E54CAD"/>
    <w:rsid w:val="00E55E9E"/>
    <w:rsid w:val="00E56E9F"/>
    <w:rsid w:val="00E616BB"/>
    <w:rsid w:val="00E7558A"/>
    <w:rsid w:val="00E8039D"/>
    <w:rsid w:val="00E96E0F"/>
    <w:rsid w:val="00EA0CE5"/>
    <w:rsid w:val="00EA325C"/>
    <w:rsid w:val="00EA3E57"/>
    <w:rsid w:val="00EA3F48"/>
    <w:rsid w:val="00EA5BA9"/>
    <w:rsid w:val="00EB35A1"/>
    <w:rsid w:val="00EB4A16"/>
    <w:rsid w:val="00EB7B1B"/>
    <w:rsid w:val="00EC19E7"/>
    <w:rsid w:val="00EC29E7"/>
    <w:rsid w:val="00EC444F"/>
    <w:rsid w:val="00EC488B"/>
    <w:rsid w:val="00ED0BA8"/>
    <w:rsid w:val="00EE1FD9"/>
    <w:rsid w:val="00EE34F1"/>
    <w:rsid w:val="00EF1DE7"/>
    <w:rsid w:val="00F07792"/>
    <w:rsid w:val="00F122FA"/>
    <w:rsid w:val="00F123A6"/>
    <w:rsid w:val="00F14314"/>
    <w:rsid w:val="00F156CA"/>
    <w:rsid w:val="00F17DFB"/>
    <w:rsid w:val="00F257F5"/>
    <w:rsid w:val="00F269CC"/>
    <w:rsid w:val="00F3346D"/>
    <w:rsid w:val="00F363AF"/>
    <w:rsid w:val="00F41E9C"/>
    <w:rsid w:val="00F429AE"/>
    <w:rsid w:val="00F53F42"/>
    <w:rsid w:val="00F56C9B"/>
    <w:rsid w:val="00F74AF5"/>
    <w:rsid w:val="00F77580"/>
    <w:rsid w:val="00FC4302"/>
    <w:rsid w:val="00FD05A3"/>
    <w:rsid w:val="00FE00D3"/>
    <w:rsid w:val="00FE076B"/>
    <w:rsid w:val="00FF1B71"/>
    <w:rsid w:val="00FF2239"/>
    <w:rsid w:val="00FF4A7F"/>
    <w:rsid w:val="00FF528E"/>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19061"/>
  <w14:defaultImageDpi w14:val="96"/>
  <w15:chartTrackingRefBased/>
  <w15:docId w15:val="{D35F4824-0C40-8F4D-B57B-B15A4643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C1410"/>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410"/>
    <w:rPr>
      <w:rFonts w:ascii="Arial" w:eastAsia="Times New Roman" w:hAnsi="Arial" w:cs="Arial"/>
      <w:b/>
      <w:bCs/>
      <w:sz w:val="22"/>
      <w:szCs w:val="22"/>
    </w:rPr>
  </w:style>
  <w:style w:type="paragraph" w:customStyle="1" w:styleId="DataField11pt">
    <w:name w:val="Data Field 11pt"/>
    <w:basedOn w:val="Normal"/>
    <w:rsid w:val="00BC1410"/>
    <w:pPr>
      <w:autoSpaceDE w:val="0"/>
      <w:autoSpaceDN w:val="0"/>
      <w:spacing w:line="300" w:lineRule="exact"/>
    </w:pPr>
    <w:rPr>
      <w:rFonts w:ascii="Arial" w:hAnsi="Arial" w:cs="Arial"/>
      <w:sz w:val="22"/>
      <w:szCs w:val="20"/>
    </w:rPr>
  </w:style>
  <w:style w:type="character" w:styleId="Hyperlink">
    <w:name w:val="Hyperlink"/>
    <w:uiPriority w:val="99"/>
    <w:unhideWhenUsed/>
    <w:rsid w:val="00217AC9"/>
    <w:rPr>
      <w:rFonts w:ascii="Times New Roman" w:eastAsia="Times New Roman" w:hAnsi="Times New Roman" w:cs="Times New Roman"/>
      <w:color w:val="0000FF"/>
      <w:u w:val="single"/>
    </w:rPr>
  </w:style>
  <w:style w:type="paragraph" w:customStyle="1" w:styleId="Default">
    <w:name w:val="Default"/>
    <w:rsid w:val="00A46519"/>
    <w:pPr>
      <w:widowControl w:val="0"/>
      <w:autoSpaceDE w:val="0"/>
      <w:autoSpaceDN w:val="0"/>
      <w:adjustRightInd w:val="0"/>
    </w:pPr>
    <w:rPr>
      <w:rFonts w:ascii="Myriad Pro" w:hAnsi="Myriad Pro" w:cs="Myriad Pro"/>
      <w:color w:val="000000"/>
      <w:sz w:val="24"/>
      <w:szCs w:val="24"/>
    </w:rPr>
  </w:style>
  <w:style w:type="character" w:customStyle="1" w:styleId="A2">
    <w:name w:val="A2"/>
    <w:rsid w:val="00A46519"/>
    <w:rPr>
      <w:rFonts w:cs="Myriad Pro"/>
      <w:color w:val="006954"/>
    </w:rPr>
  </w:style>
  <w:style w:type="paragraph" w:customStyle="1" w:styleId="Pa2">
    <w:name w:val="Pa2"/>
    <w:basedOn w:val="Default"/>
    <w:next w:val="Default"/>
    <w:uiPriority w:val="99"/>
    <w:rsid w:val="003F2678"/>
    <w:pPr>
      <w:spacing w:line="161" w:lineRule="atLeast"/>
    </w:pPr>
    <w:rPr>
      <w:rFonts w:cs="Times New Roman"/>
      <w:color w:val="auto"/>
    </w:rPr>
  </w:style>
  <w:style w:type="character" w:customStyle="1" w:styleId="A0">
    <w:name w:val="A0"/>
    <w:uiPriority w:val="99"/>
    <w:rsid w:val="003F2678"/>
    <w:rPr>
      <w:rFonts w:cs="Myriad Pro"/>
      <w:color w:val="6C6E70"/>
      <w:sz w:val="20"/>
      <w:szCs w:val="20"/>
    </w:rPr>
  </w:style>
  <w:style w:type="paragraph" w:styleId="Footer">
    <w:name w:val="footer"/>
    <w:basedOn w:val="Normal"/>
    <w:link w:val="FooterChar"/>
    <w:uiPriority w:val="99"/>
    <w:unhideWhenUsed/>
    <w:rsid w:val="0001278F"/>
    <w:pPr>
      <w:tabs>
        <w:tab w:val="center" w:pos="4320"/>
        <w:tab w:val="right" w:pos="8640"/>
      </w:tabs>
    </w:pPr>
  </w:style>
  <w:style w:type="character" w:customStyle="1" w:styleId="FooterChar">
    <w:name w:val="Footer Char"/>
    <w:link w:val="Footer"/>
    <w:uiPriority w:val="99"/>
    <w:rsid w:val="0001278F"/>
    <w:rPr>
      <w:rFonts w:ascii="Times New Roman" w:eastAsia="Times New Roman" w:hAnsi="Times New Roman" w:cs="Times New Roman"/>
      <w:sz w:val="24"/>
      <w:szCs w:val="24"/>
    </w:rPr>
  </w:style>
  <w:style w:type="character" w:styleId="PageNumber">
    <w:name w:val="page number"/>
    <w:uiPriority w:val="99"/>
    <w:semiHidden/>
    <w:unhideWhenUsed/>
    <w:rsid w:val="0001278F"/>
  </w:style>
  <w:style w:type="paragraph" w:styleId="Header">
    <w:name w:val="header"/>
    <w:basedOn w:val="Normal"/>
    <w:link w:val="HeaderChar"/>
    <w:uiPriority w:val="99"/>
    <w:unhideWhenUsed/>
    <w:rsid w:val="0001278F"/>
    <w:pPr>
      <w:tabs>
        <w:tab w:val="center" w:pos="4320"/>
        <w:tab w:val="right" w:pos="8640"/>
      </w:tabs>
    </w:pPr>
  </w:style>
  <w:style w:type="character" w:customStyle="1" w:styleId="HeaderChar">
    <w:name w:val="Header Char"/>
    <w:link w:val="Header"/>
    <w:uiPriority w:val="99"/>
    <w:rsid w:val="0001278F"/>
    <w:rPr>
      <w:rFonts w:ascii="Times New Roman" w:eastAsia="Times New Roman" w:hAnsi="Times New Roman" w:cs="Times New Roman"/>
      <w:sz w:val="24"/>
      <w:szCs w:val="24"/>
    </w:rPr>
  </w:style>
  <w:style w:type="character" w:styleId="FollowedHyperlink">
    <w:name w:val="FollowedHyperlink"/>
    <w:uiPriority w:val="99"/>
    <w:semiHidden/>
    <w:unhideWhenUsed/>
    <w:rsid w:val="007E6528"/>
    <w:rPr>
      <w:rFonts w:ascii="Times New Roman" w:eastAsia="Times New Roman" w:hAnsi="Times New Roman" w:cs="Times New Roman"/>
      <w:color w:val="954F72"/>
      <w:u w:val="single"/>
    </w:rPr>
  </w:style>
  <w:style w:type="paragraph" w:styleId="BalloonText">
    <w:name w:val="Balloon Text"/>
    <w:basedOn w:val="Normal"/>
    <w:link w:val="BalloonTextChar"/>
    <w:uiPriority w:val="99"/>
    <w:semiHidden/>
    <w:unhideWhenUsed/>
    <w:rsid w:val="00406D3D"/>
    <w:rPr>
      <w:sz w:val="26"/>
      <w:szCs w:val="26"/>
    </w:rPr>
  </w:style>
  <w:style w:type="character" w:customStyle="1" w:styleId="BalloonTextChar">
    <w:name w:val="Balloon Text Char"/>
    <w:link w:val="BalloonText"/>
    <w:uiPriority w:val="99"/>
    <w:semiHidden/>
    <w:rsid w:val="00406D3D"/>
    <w:rPr>
      <w:rFonts w:ascii="Times New Roman" w:eastAsia="Times New Roman" w:hAnsi="Times New Roman" w:cs="Times New Roman"/>
      <w:sz w:val="26"/>
      <w:szCs w:val="26"/>
    </w:rPr>
  </w:style>
  <w:style w:type="paragraph" w:styleId="Revision">
    <w:name w:val="Revision"/>
    <w:hidden/>
    <w:uiPriority w:val="71"/>
    <w:semiHidden/>
    <w:rsid w:val="001F5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2441">
      <w:bodyDiv w:val="1"/>
      <w:marLeft w:val="0"/>
      <w:marRight w:val="0"/>
      <w:marTop w:val="0"/>
      <w:marBottom w:val="0"/>
      <w:divBdr>
        <w:top w:val="none" w:sz="0" w:space="0" w:color="auto"/>
        <w:left w:val="none" w:sz="0" w:space="0" w:color="auto"/>
        <w:bottom w:val="none" w:sz="0" w:space="0" w:color="auto"/>
        <w:right w:val="none" w:sz="0" w:space="0" w:color="auto"/>
      </w:divBdr>
    </w:div>
    <w:div w:id="13514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The Molecular Resource Center consists of approximately 2,400 sq ft of laboratory/office/ conference room/computer server space and an additional 280 sq ft of space for freezers/storage</vt:lpstr>
    </vt:vector>
  </TitlesOfParts>
  <Company>The University of Tennessee - Institutional Use Only</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Molecular Resource Center consists of approximately 2,400 sq ft of laboratory/office/ conference room/computer server space and an additional 280 sq ft of space for freezers/storage</dc:title>
  <dc:subject/>
  <dc:creator>Taylor, William L</dc:creator>
  <cp:keywords/>
  <cp:lastModifiedBy>Ferguson, Lee</cp:lastModifiedBy>
  <cp:revision>2</cp:revision>
  <cp:lastPrinted>2019-02-14T23:20:00Z</cp:lastPrinted>
  <dcterms:created xsi:type="dcterms:W3CDTF">2023-06-22T18:17:00Z</dcterms:created>
  <dcterms:modified xsi:type="dcterms:W3CDTF">2023-06-22T18:17:00Z</dcterms:modified>
</cp:coreProperties>
</file>