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352A8" w:rsidRDefault="004352A8"/>
    <w:tbl>
      <w:tblPr>
        <w:tblStyle w:val="GridTable1Light1"/>
        <w:tblW w:w="9920" w:type="dxa"/>
        <w:jc w:val="center"/>
        <w:shd w:val="clear" w:color="auto" w:fill="F7CAAC" w:themeFill="accent2" w:themeFillTint="66"/>
        <w:tblCellMar>
          <w:left w:w="115" w:type="dxa"/>
          <w:right w:w="115" w:type="dxa"/>
        </w:tblCellMar>
        <w:tblLook w:val="00A0" w:firstRow="1" w:lastRow="0" w:firstColumn="1" w:lastColumn="0" w:noHBand="0" w:noVBand="0"/>
      </w:tblPr>
      <w:tblGrid>
        <w:gridCol w:w="4645"/>
        <w:gridCol w:w="2593"/>
        <w:gridCol w:w="2682"/>
      </w:tblGrid>
      <w:tr w:rsidR="00C851E4" w:rsidRPr="000B2BAB" w14:paraId="6BA416DA" w14:textId="77777777" w:rsidTr="00F06A7F">
        <w:trPr>
          <w:cnfStyle w:val="100000000000" w:firstRow="1" w:lastRow="0" w:firstColumn="0" w:lastColumn="0" w:oddVBand="0" w:evenVBand="0" w:oddHBand="0" w:evenHBand="0" w:firstRowFirstColumn="0" w:firstRowLastColumn="0" w:lastRowFirstColumn="0" w:lastRowLastColumn="0"/>
          <w:trHeight w:val="431"/>
          <w:tblHeader/>
          <w:jc w:val="center"/>
        </w:trPr>
        <w:tc>
          <w:tcPr>
            <w:cnfStyle w:val="001000000000" w:firstRow="0" w:lastRow="0" w:firstColumn="1" w:lastColumn="0" w:oddVBand="0" w:evenVBand="0" w:oddHBand="0" w:evenHBand="0" w:firstRowFirstColumn="0" w:firstRowLastColumn="0" w:lastRowFirstColumn="0" w:lastRowLastColumn="0"/>
            <w:tcW w:w="4645" w:type="dxa"/>
            <w:shd w:val="clear" w:color="auto" w:fill="F7CAAC" w:themeFill="accent2" w:themeFillTint="66"/>
            <w:vAlign w:val="center"/>
          </w:tcPr>
          <w:p w14:paraId="17449707" w14:textId="0332144B" w:rsidR="00C851E4" w:rsidRPr="000B2BAB" w:rsidRDefault="00C851E4" w:rsidP="00EE61EC">
            <w:pPr>
              <w:rPr>
                <w:color w:val="222A35" w:themeColor="text2" w:themeShade="80"/>
                <w:sz w:val="20"/>
                <w:szCs w:val="20"/>
              </w:rPr>
            </w:pPr>
            <w:r w:rsidRPr="000B2BAB">
              <w:rPr>
                <w:color w:val="222A35" w:themeColor="text2" w:themeShade="80"/>
                <w:sz w:val="20"/>
                <w:szCs w:val="20"/>
              </w:rPr>
              <w:t>No./Title:</w:t>
            </w:r>
            <w:r w:rsidR="004510A7">
              <w:rPr>
                <w:color w:val="222A35" w:themeColor="text2" w:themeShade="80"/>
                <w:sz w:val="20"/>
                <w:szCs w:val="20"/>
              </w:rPr>
              <w:t xml:space="preserve">  </w:t>
            </w:r>
            <w:r w:rsidR="00031B63" w:rsidRPr="00031B63">
              <w:rPr>
                <w:color w:val="222A35" w:themeColor="text2" w:themeShade="80"/>
                <w:sz w:val="20"/>
                <w:szCs w:val="20"/>
              </w:rPr>
              <w:t>Appeal of IRB Decisions</w:t>
            </w:r>
          </w:p>
        </w:tc>
        <w:tc>
          <w:tcPr>
            <w:tcW w:w="2593" w:type="dxa"/>
            <w:shd w:val="clear" w:color="auto" w:fill="F7CAAC" w:themeFill="accent2" w:themeFillTint="66"/>
            <w:vAlign w:val="center"/>
          </w:tcPr>
          <w:p w14:paraId="0231701A" w14:textId="77777777" w:rsidR="00C851E4" w:rsidRPr="000B2BAB" w:rsidRDefault="00D80DF1" w:rsidP="00EE61EC">
            <w:pPr>
              <w:tabs>
                <w:tab w:val="left" w:pos="450"/>
              </w:tabs>
              <w:cnfStyle w:val="100000000000" w:firstRow="1" w:lastRow="0" w:firstColumn="0" w:lastColumn="0" w:oddVBand="0" w:evenVBand="0" w:oddHBand="0" w:evenHBand="0" w:firstRowFirstColumn="0" w:firstRowLastColumn="0" w:lastRowFirstColumn="0" w:lastRowLastColumn="0"/>
              <w:rPr>
                <w:color w:val="222A35" w:themeColor="text2" w:themeShade="80"/>
                <w:sz w:val="20"/>
                <w:szCs w:val="20"/>
              </w:rPr>
            </w:pPr>
            <w:r>
              <w:rPr>
                <w:color w:val="222A35" w:themeColor="text2" w:themeShade="80"/>
                <w:sz w:val="20"/>
                <w:szCs w:val="20"/>
              </w:rPr>
              <w:t>Resp.</w:t>
            </w:r>
            <w:r w:rsidR="009F12F8">
              <w:rPr>
                <w:color w:val="222A35" w:themeColor="text2" w:themeShade="80"/>
                <w:sz w:val="20"/>
                <w:szCs w:val="20"/>
              </w:rPr>
              <w:t xml:space="preserve"> Office:  </w:t>
            </w:r>
            <w:r w:rsidR="00A65B3A">
              <w:rPr>
                <w:color w:val="222A35" w:themeColor="text2" w:themeShade="80"/>
                <w:sz w:val="20"/>
                <w:szCs w:val="20"/>
              </w:rPr>
              <w:t>Institutional Review Board</w:t>
            </w:r>
          </w:p>
        </w:tc>
        <w:tc>
          <w:tcPr>
            <w:tcW w:w="2682" w:type="dxa"/>
            <w:shd w:val="clear" w:color="auto" w:fill="F7CAAC" w:themeFill="accent2" w:themeFillTint="66"/>
            <w:vAlign w:val="center"/>
          </w:tcPr>
          <w:p w14:paraId="4EEDD180" w14:textId="23D2BDAA" w:rsidR="00C851E4" w:rsidRPr="00A65B3A" w:rsidRDefault="00C851E4" w:rsidP="00EE61EC">
            <w:pPr>
              <w:tabs>
                <w:tab w:val="left" w:pos="450"/>
              </w:tabs>
              <w:cnfStyle w:val="100000000000" w:firstRow="1" w:lastRow="0" w:firstColumn="0" w:lastColumn="0" w:oddVBand="0" w:evenVBand="0" w:oddHBand="0" w:evenHBand="0" w:firstRowFirstColumn="0" w:firstRowLastColumn="0" w:lastRowFirstColumn="0" w:lastRowLastColumn="0"/>
              <w:rPr>
                <w:color w:val="222A35" w:themeColor="text2" w:themeShade="80"/>
                <w:sz w:val="20"/>
                <w:szCs w:val="20"/>
              </w:rPr>
            </w:pPr>
            <w:r w:rsidRPr="000B2BAB">
              <w:rPr>
                <w:color w:val="222A35" w:themeColor="text2" w:themeShade="80"/>
                <w:sz w:val="20"/>
                <w:szCs w:val="20"/>
              </w:rPr>
              <w:t>Effective Date:</w:t>
            </w:r>
            <w:r w:rsidRPr="000B2BAB">
              <w:rPr>
                <w:color w:val="222A35" w:themeColor="text2" w:themeShade="80"/>
              </w:rPr>
              <w:t xml:space="preserve">  </w:t>
            </w:r>
            <w:r w:rsidR="00031B63">
              <w:rPr>
                <w:color w:val="222A35" w:themeColor="text2" w:themeShade="80"/>
              </w:rPr>
              <w:t>0</w:t>
            </w:r>
            <w:r w:rsidR="00A65B3A">
              <w:rPr>
                <w:color w:val="222A35" w:themeColor="text2" w:themeShade="80"/>
                <w:sz w:val="20"/>
                <w:szCs w:val="20"/>
              </w:rPr>
              <w:t>1/1</w:t>
            </w:r>
            <w:r w:rsidR="00031B63">
              <w:rPr>
                <w:color w:val="222A35" w:themeColor="text2" w:themeShade="80"/>
                <w:sz w:val="20"/>
                <w:szCs w:val="20"/>
              </w:rPr>
              <w:t>5</w:t>
            </w:r>
            <w:r w:rsidR="00A65B3A">
              <w:rPr>
                <w:color w:val="222A35" w:themeColor="text2" w:themeShade="80"/>
                <w:sz w:val="20"/>
                <w:szCs w:val="20"/>
              </w:rPr>
              <w:t>/200</w:t>
            </w:r>
            <w:r w:rsidR="00031B63">
              <w:rPr>
                <w:color w:val="222A35" w:themeColor="text2" w:themeShade="80"/>
                <w:sz w:val="20"/>
                <w:szCs w:val="20"/>
              </w:rPr>
              <w:t>5</w:t>
            </w:r>
          </w:p>
        </w:tc>
      </w:tr>
      <w:tr w:rsidR="00C851E4" w:rsidRPr="000B2BAB" w14:paraId="5E8C398A" w14:textId="77777777" w:rsidTr="00F06A7F">
        <w:trPr>
          <w:trHeight w:val="346"/>
          <w:jc w:val="center"/>
        </w:trPr>
        <w:tc>
          <w:tcPr>
            <w:cnfStyle w:val="001000000000" w:firstRow="0" w:lastRow="0" w:firstColumn="1" w:lastColumn="0" w:oddVBand="0" w:evenVBand="0" w:oddHBand="0" w:evenHBand="0" w:firstRowFirstColumn="0" w:firstRowLastColumn="0" w:lastRowFirstColumn="0" w:lastRowLastColumn="0"/>
            <w:tcW w:w="4645" w:type="dxa"/>
            <w:shd w:val="clear" w:color="auto" w:fill="F7CAAC" w:themeFill="accent2" w:themeFillTint="66"/>
            <w:vAlign w:val="center"/>
          </w:tcPr>
          <w:p w14:paraId="098AE5E8" w14:textId="77777777" w:rsidR="00C851E4" w:rsidRPr="000B2BAB" w:rsidRDefault="00D80DF1" w:rsidP="009747EB">
            <w:pPr>
              <w:rPr>
                <w:b w:val="0"/>
                <w:color w:val="222A35" w:themeColor="text2" w:themeShade="80"/>
                <w:sz w:val="20"/>
                <w:szCs w:val="20"/>
              </w:rPr>
            </w:pPr>
            <w:r w:rsidRPr="000B2BAB">
              <w:rPr>
                <w:color w:val="222A35" w:themeColor="text2" w:themeShade="80"/>
                <w:sz w:val="20"/>
                <w:szCs w:val="20"/>
              </w:rPr>
              <w:t>Category:</w:t>
            </w:r>
            <w:r w:rsidRPr="002D41F4">
              <w:rPr>
                <w:b w:val="0"/>
                <w:color w:val="222A35" w:themeColor="text2" w:themeShade="80"/>
                <w:sz w:val="20"/>
                <w:szCs w:val="20"/>
              </w:rPr>
              <w:t xml:space="preserve">  </w:t>
            </w:r>
            <w:r>
              <w:rPr>
                <w:b w:val="0"/>
                <w:color w:val="222A35" w:themeColor="text2" w:themeShade="80"/>
                <w:sz w:val="20"/>
                <w:szCs w:val="20"/>
              </w:rPr>
              <w:t xml:space="preserve"> </w:t>
            </w:r>
            <w:r w:rsidR="00A65B3A">
              <w:rPr>
                <w:b w:val="0"/>
                <w:color w:val="222A35" w:themeColor="text2" w:themeShade="80"/>
                <w:sz w:val="20"/>
                <w:szCs w:val="20"/>
              </w:rPr>
              <w:t>Institutional Review Board (IRB)</w:t>
            </w:r>
          </w:p>
        </w:tc>
        <w:tc>
          <w:tcPr>
            <w:tcW w:w="2593" w:type="dxa"/>
            <w:shd w:val="clear" w:color="auto" w:fill="F7CAAC" w:themeFill="accent2" w:themeFillTint="66"/>
            <w:vAlign w:val="center"/>
          </w:tcPr>
          <w:p w14:paraId="6503BD4C" w14:textId="1BC40688" w:rsidR="00C851E4" w:rsidRPr="000B2BAB" w:rsidRDefault="00D80DF1" w:rsidP="009747EB">
            <w:pPr>
              <w:tabs>
                <w:tab w:val="left" w:pos="450"/>
              </w:tabs>
              <w:cnfStyle w:val="000000000000" w:firstRow="0" w:lastRow="0" w:firstColumn="0" w:lastColumn="0" w:oddVBand="0" w:evenVBand="0" w:oddHBand="0" w:evenHBand="0" w:firstRowFirstColumn="0" w:firstRowLastColumn="0" w:lastRowFirstColumn="0" w:lastRowLastColumn="0"/>
              <w:rPr>
                <w:b/>
                <w:color w:val="222A35" w:themeColor="text2" w:themeShade="80"/>
                <w:sz w:val="20"/>
                <w:szCs w:val="20"/>
              </w:rPr>
            </w:pPr>
            <w:r w:rsidRPr="000B2BAB">
              <w:rPr>
                <w:b/>
                <w:color w:val="222A35" w:themeColor="text2" w:themeShade="80"/>
                <w:sz w:val="20"/>
                <w:szCs w:val="20"/>
              </w:rPr>
              <w:t>Last Review:</w:t>
            </w:r>
            <w:r>
              <w:rPr>
                <w:b/>
                <w:color w:val="222A35" w:themeColor="text2" w:themeShade="80"/>
                <w:sz w:val="20"/>
                <w:szCs w:val="20"/>
              </w:rPr>
              <w:t xml:space="preserve">  </w:t>
            </w:r>
            <w:r w:rsidR="00A65B3A">
              <w:rPr>
                <w:color w:val="222A35" w:themeColor="text2" w:themeShade="80"/>
                <w:sz w:val="20"/>
                <w:szCs w:val="20"/>
              </w:rPr>
              <w:t>0</w:t>
            </w:r>
            <w:r w:rsidR="00031B63">
              <w:rPr>
                <w:color w:val="222A35" w:themeColor="text2" w:themeShade="80"/>
                <w:sz w:val="20"/>
                <w:szCs w:val="20"/>
              </w:rPr>
              <w:t>4</w:t>
            </w:r>
            <w:r w:rsidR="00A65B3A">
              <w:rPr>
                <w:color w:val="222A35" w:themeColor="text2" w:themeShade="80"/>
                <w:sz w:val="20"/>
                <w:szCs w:val="20"/>
              </w:rPr>
              <w:t>/</w:t>
            </w:r>
            <w:r w:rsidR="00B337EA">
              <w:rPr>
                <w:color w:val="222A35" w:themeColor="text2" w:themeShade="80"/>
                <w:sz w:val="20"/>
                <w:szCs w:val="20"/>
              </w:rPr>
              <w:t>2</w:t>
            </w:r>
            <w:r w:rsidR="00031B63">
              <w:rPr>
                <w:color w:val="222A35" w:themeColor="text2" w:themeShade="80"/>
                <w:sz w:val="20"/>
                <w:szCs w:val="20"/>
              </w:rPr>
              <w:t>9</w:t>
            </w:r>
            <w:r w:rsidR="00A65B3A">
              <w:rPr>
                <w:color w:val="222A35" w:themeColor="text2" w:themeShade="80"/>
                <w:sz w:val="20"/>
                <w:szCs w:val="20"/>
              </w:rPr>
              <w:t>/202</w:t>
            </w:r>
            <w:r w:rsidR="00031B63">
              <w:rPr>
                <w:color w:val="222A35" w:themeColor="text2" w:themeShade="80"/>
                <w:sz w:val="20"/>
                <w:szCs w:val="20"/>
              </w:rPr>
              <w:t>1</w:t>
            </w:r>
          </w:p>
        </w:tc>
        <w:tc>
          <w:tcPr>
            <w:tcW w:w="2682" w:type="dxa"/>
            <w:shd w:val="clear" w:color="auto" w:fill="F7CAAC" w:themeFill="accent2" w:themeFillTint="66"/>
            <w:vAlign w:val="center"/>
          </w:tcPr>
          <w:p w14:paraId="4F6C731E" w14:textId="2E1C9DDF" w:rsidR="00C851E4" w:rsidRPr="000B2BAB" w:rsidRDefault="00D80DF1" w:rsidP="009747EB">
            <w:pPr>
              <w:tabs>
                <w:tab w:val="left" w:pos="450"/>
              </w:tabs>
              <w:cnfStyle w:val="000000000000" w:firstRow="0" w:lastRow="0" w:firstColumn="0" w:lastColumn="0" w:oddVBand="0" w:evenVBand="0" w:oddHBand="0" w:evenHBand="0" w:firstRowFirstColumn="0" w:firstRowLastColumn="0" w:lastRowFirstColumn="0" w:lastRowLastColumn="0"/>
              <w:rPr>
                <w:color w:val="222A35" w:themeColor="text2" w:themeShade="80"/>
                <w:sz w:val="20"/>
                <w:szCs w:val="20"/>
              </w:rPr>
            </w:pPr>
            <w:r w:rsidRPr="000B2BAB">
              <w:rPr>
                <w:b/>
                <w:color w:val="222A35" w:themeColor="text2" w:themeShade="80"/>
                <w:sz w:val="20"/>
                <w:szCs w:val="20"/>
              </w:rPr>
              <w:t>Next Review:</w:t>
            </w:r>
            <w:r w:rsidRPr="002D41F4">
              <w:rPr>
                <w:b/>
                <w:color w:val="222A35" w:themeColor="text2" w:themeShade="80"/>
                <w:sz w:val="20"/>
                <w:szCs w:val="20"/>
              </w:rPr>
              <w:t xml:space="preserve"> </w:t>
            </w:r>
            <w:r w:rsidR="00A65B3A">
              <w:rPr>
                <w:b/>
                <w:color w:val="222A35" w:themeColor="text2" w:themeShade="80"/>
                <w:sz w:val="20"/>
                <w:szCs w:val="20"/>
              </w:rPr>
              <w:t xml:space="preserve"> </w:t>
            </w:r>
            <w:r w:rsidR="00A65B3A">
              <w:rPr>
                <w:color w:val="222A35" w:themeColor="text2" w:themeShade="80"/>
                <w:sz w:val="20"/>
                <w:szCs w:val="20"/>
              </w:rPr>
              <w:t>0</w:t>
            </w:r>
            <w:r w:rsidR="00031B63">
              <w:rPr>
                <w:color w:val="222A35" w:themeColor="text2" w:themeShade="80"/>
                <w:sz w:val="20"/>
                <w:szCs w:val="20"/>
              </w:rPr>
              <w:t>4</w:t>
            </w:r>
            <w:r w:rsidR="00A65B3A">
              <w:rPr>
                <w:color w:val="222A35" w:themeColor="text2" w:themeShade="80"/>
                <w:sz w:val="20"/>
                <w:szCs w:val="20"/>
              </w:rPr>
              <w:t>/</w:t>
            </w:r>
            <w:r w:rsidR="00B337EA">
              <w:rPr>
                <w:color w:val="222A35" w:themeColor="text2" w:themeShade="80"/>
                <w:sz w:val="20"/>
                <w:szCs w:val="20"/>
              </w:rPr>
              <w:t>2</w:t>
            </w:r>
            <w:r w:rsidR="00031B63">
              <w:rPr>
                <w:color w:val="222A35" w:themeColor="text2" w:themeShade="80"/>
                <w:sz w:val="20"/>
                <w:szCs w:val="20"/>
              </w:rPr>
              <w:t>9</w:t>
            </w:r>
            <w:r w:rsidR="00A65B3A">
              <w:rPr>
                <w:color w:val="222A35" w:themeColor="text2" w:themeShade="80"/>
                <w:sz w:val="20"/>
                <w:szCs w:val="20"/>
              </w:rPr>
              <w:t>/202</w:t>
            </w:r>
            <w:r w:rsidR="00031B63">
              <w:rPr>
                <w:color w:val="222A35" w:themeColor="text2" w:themeShade="80"/>
                <w:sz w:val="20"/>
                <w:szCs w:val="20"/>
              </w:rPr>
              <w:t>2</w:t>
            </w:r>
          </w:p>
        </w:tc>
      </w:tr>
      <w:tr w:rsidR="00C851E4" w:rsidRPr="000B2BAB" w14:paraId="4D9BD341" w14:textId="77777777" w:rsidTr="00F06A7F">
        <w:trPr>
          <w:trHeight w:val="346"/>
          <w:jc w:val="center"/>
        </w:trPr>
        <w:tc>
          <w:tcPr>
            <w:cnfStyle w:val="001000000000" w:firstRow="0" w:lastRow="0" w:firstColumn="1" w:lastColumn="0" w:oddVBand="0" w:evenVBand="0" w:oddHBand="0" w:evenHBand="0" w:firstRowFirstColumn="0" w:firstRowLastColumn="0" w:lastRowFirstColumn="0" w:lastRowLastColumn="0"/>
            <w:tcW w:w="4645" w:type="dxa"/>
            <w:shd w:val="clear" w:color="auto" w:fill="F7CAAC" w:themeFill="accent2" w:themeFillTint="66"/>
            <w:vAlign w:val="center"/>
          </w:tcPr>
          <w:p w14:paraId="070C3B05" w14:textId="77777777" w:rsidR="00C851E4" w:rsidRPr="00A75464" w:rsidRDefault="00A75464" w:rsidP="009747EB">
            <w:pPr>
              <w:rPr>
                <w:b w:val="0"/>
                <w:color w:val="222A35" w:themeColor="text2" w:themeShade="80"/>
                <w:sz w:val="20"/>
                <w:szCs w:val="20"/>
              </w:rPr>
            </w:pPr>
            <w:r>
              <w:rPr>
                <w:color w:val="222A35" w:themeColor="text2" w:themeShade="80"/>
                <w:sz w:val="20"/>
                <w:szCs w:val="20"/>
              </w:rPr>
              <w:t>Contact:</w:t>
            </w:r>
            <w:r w:rsidR="004510A7">
              <w:rPr>
                <w:color w:val="222A35" w:themeColor="text2" w:themeShade="80"/>
                <w:sz w:val="20"/>
                <w:szCs w:val="20"/>
              </w:rPr>
              <w:t xml:space="preserve">    </w:t>
            </w:r>
            <w:r w:rsidR="00D80DF1" w:rsidRPr="00935A6C">
              <w:rPr>
                <w:b w:val="0"/>
                <w:color w:val="222A35" w:themeColor="text2" w:themeShade="80"/>
                <w:sz w:val="20"/>
                <w:szCs w:val="20"/>
              </w:rPr>
              <w:t xml:space="preserve"> </w:t>
            </w:r>
            <w:r w:rsidR="00A65B3A">
              <w:rPr>
                <w:b w:val="0"/>
                <w:color w:val="222A35" w:themeColor="text2" w:themeShade="80"/>
                <w:sz w:val="20"/>
                <w:szCs w:val="20"/>
              </w:rPr>
              <w:t>Institutional Review Board (IRB)</w:t>
            </w:r>
          </w:p>
        </w:tc>
        <w:tc>
          <w:tcPr>
            <w:tcW w:w="2593" w:type="dxa"/>
            <w:shd w:val="clear" w:color="auto" w:fill="F7CAAC" w:themeFill="accent2" w:themeFillTint="66"/>
            <w:vAlign w:val="center"/>
          </w:tcPr>
          <w:p w14:paraId="2883445A" w14:textId="77777777" w:rsidR="00C851E4" w:rsidRPr="00A65B3A" w:rsidRDefault="004510A7" w:rsidP="009747EB">
            <w:pPr>
              <w:tabs>
                <w:tab w:val="left" w:pos="450"/>
              </w:tabs>
              <w:cnfStyle w:val="000000000000" w:firstRow="0" w:lastRow="0" w:firstColumn="0" w:lastColumn="0" w:oddVBand="0" w:evenVBand="0" w:oddHBand="0" w:evenHBand="0" w:firstRowFirstColumn="0" w:firstRowLastColumn="0" w:lastRowFirstColumn="0" w:lastRowLastColumn="0"/>
              <w:rPr>
                <w:b/>
                <w:color w:val="222A35" w:themeColor="text2" w:themeShade="80"/>
                <w:sz w:val="20"/>
                <w:szCs w:val="20"/>
              </w:rPr>
            </w:pPr>
            <w:r w:rsidRPr="00D80DF1">
              <w:rPr>
                <w:rFonts w:ascii="Wingdings" w:hAnsi="Wingdings"/>
              </w:rPr>
              <w:t></w:t>
            </w:r>
            <w:r w:rsidR="00A65B3A">
              <w:rPr>
                <w:rFonts w:ascii="Wingdings" w:hAnsi="Wingdings"/>
              </w:rPr>
              <w:t></w:t>
            </w:r>
            <w:r w:rsidR="00A65B3A">
              <w:rPr>
                <w:sz w:val="20"/>
                <w:szCs w:val="20"/>
              </w:rPr>
              <w:t>901.448.4824</w:t>
            </w:r>
          </w:p>
        </w:tc>
        <w:tc>
          <w:tcPr>
            <w:tcW w:w="2682" w:type="dxa"/>
            <w:shd w:val="clear" w:color="auto" w:fill="F7CAAC" w:themeFill="accent2" w:themeFillTint="66"/>
            <w:vAlign w:val="center"/>
          </w:tcPr>
          <w:p w14:paraId="2B532697" w14:textId="77777777" w:rsidR="00C851E4" w:rsidRPr="00D80DF1" w:rsidRDefault="00D80DF1" w:rsidP="009747EB">
            <w:pPr>
              <w:tabs>
                <w:tab w:val="left" w:pos="450"/>
              </w:tabs>
              <w:cnfStyle w:val="000000000000" w:firstRow="0" w:lastRow="0" w:firstColumn="0" w:lastColumn="0" w:oddVBand="0" w:evenVBand="0" w:oddHBand="0" w:evenHBand="0" w:firstRowFirstColumn="0" w:firstRowLastColumn="0" w:lastRowFirstColumn="0" w:lastRowLastColumn="0"/>
              <w:rPr>
                <w:b/>
                <w:color w:val="222A35" w:themeColor="text2" w:themeShade="80"/>
                <w:sz w:val="20"/>
                <w:szCs w:val="20"/>
              </w:rPr>
            </w:pPr>
            <w:r w:rsidRPr="00D80DF1">
              <w:rPr>
                <w:rFonts w:ascii="Wingdings" w:hAnsi="Wingdings"/>
              </w:rPr>
              <w:t></w:t>
            </w:r>
            <w:r>
              <w:rPr>
                <w:sz w:val="20"/>
                <w:szCs w:val="20"/>
              </w:rPr>
              <w:t xml:space="preserve"> </w:t>
            </w:r>
            <w:r w:rsidR="00A65B3A">
              <w:rPr>
                <w:sz w:val="20"/>
                <w:szCs w:val="20"/>
              </w:rPr>
              <w:t>irb@uthsc.edu</w:t>
            </w:r>
          </w:p>
        </w:tc>
      </w:tr>
    </w:tbl>
    <w:p w14:paraId="0A37501D" w14:textId="77777777" w:rsidR="00EE61EC" w:rsidRDefault="00EE61EC" w:rsidP="00944556">
      <w:pPr>
        <w:tabs>
          <w:tab w:val="left" w:pos="450"/>
        </w:tabs>
        <w:spacing w:after="0" w:line="240" w:lineRule="auto"/>
        <w:jc w:val="both"/>
        <w:rPr>
          <w:b/>
          <w:sz w:val="28"/>
          <w:szCs w:val="28"/>
        </w:rPr>
      </w:pPr>
    </w:p>
    <w:p w14:paraId="6B936807" w14:textId="77777777" w:rsidR="00CB5743" w:rsidRDefault="008822CF" w:rsidP="00126D79">
      <w:pPr>
        <w:spacing w:after="0" w:line="240" w:lineRule="auto"/>
        <w:ind w:left="720" w:hanging="720"/>
        <w:jc w:val="both"/>
      </w:pPr>
      <w:r>
        <w:rPr>
          <w:b/>
          <w:color w:val="1F4E79" w:themeColor="accent1" w:themeShade="80"/>
          <w:sz w:val="28"/>
          <w:szCs w:val="28"/>
        </w:rPr>
        <w:t>I.</w:t>
      </w:r>
      <w:r>
        <w:rPr>
          <w:b/>
          <w:color w:val="1F4E79" w:themeColor="accent1" w:themeShade="80"/>
          <w:sz w:val="28"/>
          <w:szCs w:val="28"/>
        </w:rPr>
        <w:tab/>
      </w:r>
      <w:r w:rsidR="009747EB" w:rsidRPr="00CB5743">
        <w:rPr>
          <w:b/>
          <w:color w:val="1F4E79" w:themeColor="accent1" w:themeShade="80"/>
          <w:sz w:val="28"/>
          <w:szCs w:val="28"/>
        </w:rPr>
        <w:t>P</w:t>
      </w:r>
      <w:r>
        <w:rPr>
          <w:b/>
          <w:color w:val="1F4E79" w:themeColor="accent1" w:themeShade="80"/>
          <w:sz w:val="28"/>
          <w:szCs w:val="28"/>
        </w:rPr>
        <w:t>U</w:t>
      </w:r>
      <w:r w:rsidR="009747EB" w:rsidRPr="00CB5743">
        <w:rPr>
          <w:b/>
          <w:color w:val="1F4E79" w:themeColor="accent1" w:themeShade="80"/>
          <w:sz w:val="28"/>
          <w:szCs w:val="28"/>
        </w:rPr>
        <w:t>R</w:t>
      </w:r>
      <w:r>
        <w:rPr>
          <w:b/>
          <w:color w:val="1F4E79" w:themeColor="accent1" w:themeShade="80"/>
          <w:sz w:val="28"/>
          <w:szCs w:val="28"/>
        </w:rPr>
        <w:t>POSE</w:t>
      </w:r>
    </w:p>
    <w:p w14:paraId="5DAB6C7B" w14:textId="77777777" w:rsidR="008822CF" w:rsidRPr="008822CF" w:rsidRDefault="008822CF" w:rsidP="008822CF">
      <w:pPr>
        <w:tabs>
          <w:tab w:val="left" w:pos="450"/>
        </w:tabs>
        <w:spacing w:after="0" w:line="240" w:lineRule="auto"/>
        <w:jc w:val="both"/>
      </w:pPr>
    </w:p>
    <w:p w14:paraId="64F9A0D3" w14:textId="0AD6AF13" w:rsidR="008822CF" w:rsidRDefault="00713FEF" w:rsidP="00086D73">
      <w:pPr>
        <w:jc w:val="both"/>
        <w:rPr>
          <w:sz w:val="24"/>
        </w:rPr>
      </w:pPr>
      <w:r w:rsidRPr="00713FEF">
        <w:rPr>
          <w:sz w:val="24"/>
        </w:rPr>
        <w:t>To document the procedures for appeals regarding IRB decisions</w:t>
      </w:r>
      <w:r w:rsidR="00344B5F" w:rsidRPr="00344B5F">
        <w:rPr>
          <w:sz w:val="24"/>
        </w:rPr>
        <w:t>.</w:t>
      </w:r>
    </w:p>
    <w:p w14:paraId="64FB20B7" w14:textId="77777777" w:rsidR="00126D79" w:rsidRPr="0086694D" w:rsidRDefault="00126D79" w:rsidP="00086D73">
      <w:pPr>
        <w:ind w:left="720" w:hanging="720"/>
        <w:jc w:val="both"/>
      </w:pPr>
      <w:r>
        <w:rPr>
          <w:b/>
          <w:color w:val="1F4E79" w:themeColor="accent1" w:themeShade="80"/>
          <w:sz w:val="28"/>
          <w:szCs w:val="28"/>
        </w:rPr>
        <w:t>II.</w:t>
      </w:r>
      <w:r>
        <w:rPr>
          <w:b/>
          <w:color w:val="1F4E79" w:themeColor="accent1" w:themeShade="80"/>
          <w:sz w:val="28"/>
          <w:szCs w:val="28"/>
        </w:rPr>
        <w:tab/>
        <w:t>SCOPE</w:t>
      </w:r>
    </w:p>
    <w:p w14:paraId="3B68FC2B" w14:textId="4EA5BFD7" w:rsidR="00126D79" w:rsidRDefault="00713FEF" w:rsidP="00086D73">
      <w:pPr>
        <w:pStyle w:val="BodyTextIndent2"/>
        <w:ind w:left="0"/>
        <w:jc w:val="both"/>
        <w:rPr>
          <w:rFonts w:asciiTheme="minorHAnsi" w:hAnsiTheme="minorHAnsi"/>
          <w:sz w:val="24"/>
          <w:szCs w:val="24"/>
        </w:rPr>
      </w:pPr>
      <w:r w:rsidRPr="00713FEF">
        <w:rPr>
          <w:rFonts w:asciiTheme="minorHAnsi" w:hAnsiTheme="minorHAnsi"/>
          <w:sz w:val="24"/>
          <w:szCs w:val="24"/>
        </w:rPr>
        <w:t>This SOP applies to all investigators performing research under the auspices of the University of University of Tennessee Health Science Center IRB and its affiliated institutions</w:t>
      </w:r>
      <w:r w:rsidR="00344B5F" w:rsidRPr="00344B5F">
        <w:rPr>
          <w:rFonts w:asciiTheme="minorHAnsi" w:hAnsiTheme="minorHAnsi"/>
          <w:sz w:val="24"/>
          <w:szCs w:val="24"/>
        </w:rPr>
        <w:t>.</w:t>
      </w:r>
    </w:p>
    <w:p w14:paraId="02EB378F" w14:textId="77777777" w:rsidR="00126D79" w:rsidRPr="00126D79" w:rsidRDefault="00126D79" w:rsidP="00086D73">
      <w:pPr>
        <w:pStyle w:val="BodyTextIndent2"/>
        <w:ind w:left="0"/>
        <w:jc w:val="both"/>
        <w:rPr>
          <w:rFonts w:asciiTheme="minorHAnsi" w:hAnsiTheme="minorHAnsi"/>
          <w:sz w:val="24"/>
          <w:szCs w:val="24"/>
        </w:rPr>
      </w:pPr>
    </w:p>
    <w:p w14:paraId="0D6438E1" w14:textId="77777777" w:rsidR="00126D79" w:rsidRPr="00126D79" w:rsidRDefault="00126D79" w:rsidP="00086D73">
      <w:pPr>
        <w:jc w:val="both"/>
        <w:rPr>
          <w:sz w:val="24"/>
          <w:szCs w:val="24"/>
        </w:rPr>
      </w:pPr>
      <w:r w:rsidRPr="00126D79">
        <w:rPr>
          <w:b/>
          <w:sz w:val="24"/>
          <w:szCs w:val="24"/>
        </w:rPr>
        <w:t>Personnel responsible</w:t>
      </w:r>
      <w:r w:rsidRPr="00126D79">
        <w:rPr>
          <w:sz w:val="24"/>
          <w:szCs w:val="24"/>
        </w:rPr>
        <w:t>:</w:t>
      </w:r>
    </w:p>
    <w:p w14:paraId="5D597E77" w14:textId="2BE9139B" w:rsidR="00126D79" w:rsidRPr="00126D79" w:rsidRDefault="00713FEF" w:rsidP="00086D73">
      <w:pPr>
        <w:tabs>
          <w:tab w:val="left" w:pos="450"/>
        </w:tabs>
        <w:spacing w:after="0" w:line="240" w:lineRule="auto"/>
        <w:jc w:val="both"/>
        <w:rPr>
          <w:rFonts w:cs="Arial"/>
          <w:color w:val="444444"/>
          <w:sz w:val="24"/>
          <w:szCs w:val="24"/>
        </w:rPr>
      </w:pPr>
      <w:r w:rsidRPr="00713FEF">
        <w:rPr>
          <w:sz w:val="24"/>
          <w:szCs w:val="24"/>
        </w:rPr>
        <w:t xml:space="preserve">IRB Compliance Advisor, Director, section chair, administrative </w:t>
      </w:r>
      <w:proofErr w:type="gramStart"/>
      <w:r w:rsidRPr="00713FEF">
        <w:rPr>
          <w:sz w:val="24"/>
          <w:szCs w:val="24"/>
        </w:rPr>
        <w:t>staff</w:t>
      </w:r>
      <w:proofErr w:type="gramEnd"/>
      <w:r w:rsidRPr="00713FEF">
        <w:rPr>
          <w:sz w:val="24"/>
          <w:szCs w:val="24"/>
        </w:rPr>
        <w:t xml:space="preserve"> and IRB members</w:t>
      </w:r>
      <w:r w:rsidR="00126D79" w:rsidRPr="00126D79">
        <w:rPr>
          <w:sz w:val="24"/>
          <w:szCs w:val="24"/>
        </w:rPr>
        <w:t>.</w:t>
      </w:r>
    </w:p>
    <w:p w14:paraId="6A05A809" w14:textId="77777777" w:rsidR="00126D79" w:rsidRDefault="00126D79" w:rsidP="00086D73">
      <w:pPr>
        <w:tabs>
          <w:tab w:val="left" w:pos="450"/>
        </w:tabs>
        <w:spacing w:after="0" w:line="240" w:lineRule="auto"/>
        <w:jc w:val="both"/>
        <w:rPr>
          <w:rFonts w:cs="Arial"/>
          <w:color w:val="444444"/>
          <w:sz w:val="24"/>
          <w:szCs w:val="24"/>
        </w:rPr>
      </w:pPr>
    </w:p>
    <w:p w14:paraId="1C45980E" w14:textId="77777777" w:rsidR="00126D79" w:rsidRDefault="00126D79" w:rsidP="00086D73">
      <w:pPr>
        <w:tabs>
          <w:tab w:val="left" w:pos="450"/>
        </w:tabs>
        <w:spacing w:after="0" w:line="240" w:lineRule="auto"/>
        <w:jc w:val="both"/>
        <w:rPr>
          <w:rFonts w:cs="Arial"/>
          <w:color w:val="444444"/>
          <w:sz w:val="24"/>
          <w:szCs w:val="24"/>
        </w:rPr>
      </w:pPr>
      <w:r>
        <w:rPr>
          <w:b/>
          <w:color w:val="1F4E79" w:themeColor="accent1" w:themeShade="80"/>
          <w:sz w:val="28"/>
          <w:szCs w:val="28"/>
        </w:rPr>
        <w:t>I</w:t>
      </w:r>
      <w:r w:rsidR="001149F1">
        <w:rPr>
          <w:b/>
          <w:color w:val="1F4E79" w:themeColor="accent1" w:themeShade="80"/>
          <w:sz w:val="28"/>
          <w:szCs w:val="28"/>
        </w:rPr>
        <w:t>I</w:t>
      </w:r>
      <w:r>
        <w:rPr>
          <w:b/>
          <w:color w:val="1F4E79" w:themeColor="accent1" w:themeShade="80"/>
          <w:sz w:val="28"/>
          <w:szCs w:val="28"/>
        </w:rPr>
        <w:t>I.</w:t>
      </w:r>
      <w:r>
        <w:rPr>
          <w:b/>
          <w:color w:val="1F4E79" w:themeColor="accent1" w:themeShade="80"/>
          <w:sz w:val="28"/>
          <w:szCs w:val="28"/>
        </w:rPr>
        <w:tab/>
        <w:t>BACKGROUND</w:t>
      </w:r>
    </w:p>
    <w:p w14:paraId="5A39BBE3" w14:textId="77777777" w:rsidR="00126D79" w:rsidRPr="00126D79" w:rsidRDefault="00126D79" w:rsidP="00086D73">
      <w:pPr>
        <w:tabs>
          <w:tab w:val="left" w:pos="450"/>
        </w:tabs>
        <w:spacing w:after="0" w:line="240" w:lineRule="auto"/>
        <w:jc w:val="both"/>
        <w:rPr>
          <w:rFonts w:cs="Arial"/>
          <w:color w:val="444444"/>
          <w:sz w:val="24"/>
          <w:szCs w:val="24"/>
        </w:rPr>
      </w:pPr>
    </w:p>
    <w:p w14:paraId="77122B70" w14:textId="77777777" w:rsidR="00F47F21" w:rsidRPr="00F47F21" w:rsidRDefault="00F47F21" w:rsidP="00F47F21">
      <w:pPr>
        <w:tabs>
          <w:tab w:val="left" w:pos="450"/>
        </w:tabs>
        <w:spacing w:after="0" w:line="240" w:lineRule="auto"/>
        <w:jc w:val="both"/>
        <w:rPr>
          <w:sz w:val="24"/>
          <w:szCs w:val="24"/>
        </w:rPr>
      </w:pPr>
      <w:r w:rsidRPr="00F47F21">
        <w:rPr>
          <w:sz w:val="24"/>
          <w:szCs w:val="24"/>
        </w:rPr>
        <w:t>Under federal regulations for the protection of human subjects, applications to conduct research studies may not be implemented without prior approval of the IRB under whose auspices the research will occur.  Moreover, officials of the institution(s) in which the proposed might occur may not approve research if it has been disapproved by the IRB.  Applications that are reviewed on an expedited basis by the chair or designee may not be disapproved without review by the convened IRB.  If the full Board disapproves a new application to conduct research, an application to continue a previously approved project, or a revision application, investigators may file an appeal requesting that the Board reconsider its action.  This process is available to all investigators by written request.</w:t>
      </w:r>
    </w:p>
    <w:p w14:paraId="0F1958AF" w14:textId="77777777" w:rsidR="00F47F21" w:rsidRPr="00F47F21" w:rsidRDefault="00F47F21" w:rsidP="00F47F21">
      <w:pPr>
        <w:tabs>
          <w:tab w:val="left" w:pos="450"/>
        </w:tabs>
        <w:spacing w:after="0" w:line="240" w:lineRule="auto"/>
        <w:jc w:val="both"/>
        <w:rPr>
          <w:sz w:val="24"/>
          <w:szCs w:val="24"/>
        </w:rPr>
      </w:pPr>
    </w:p>
    <w:p w14:paraId="7FDB92C3" w14:textId="5A6BE1C0" w:rsidR="00466C87" w:rsidRDefault="00F47F21" w:rsidP="00F47F21">
      <w:pPr>
        <w:tabs>
          <w:tab w:val="left" w:pos="450"/>
        </w:tabs>
        <w:spacing w:after="0" w:line="240" w:lineRule="auto"/>
        <w:jc w:val="both"/>
        <w:rPr>
          <w:rFonts w:cs="Times"/>
          <w:color w:val="000000"/>
          <w:sz w:val="24"/>
          <w:szCs w:val="24"/>
        </w:rPr>
      </w:pPr>
      <w:r w:rsidRPr="00F47F21">
        <w:rPr>
          <w:sz w:val="24"/>
          <w:szCs w:val="24"/>
        </w:rPr>
        <w:t>Under federal regulations at 45 CFR 46.108(a)(4) (previously 45 CFR 46.103(a)(5) under the pre-2018 Common Rule) and 21 CFR 56.108(b), IRBs must also have written procedures for addressing any serious or continuing noncompliance of investigators with federal regulations and local IRB policy.  When the IRB determines that serious or continuing noncompliance has occurred, the Board may suspend studies, require implementation of corrective action plans to remedy deficiencies, or terminate research.  Investigators may file an appeal requesting that the Board reconsider its action.  This process is available to all investigators by written request</w:t>
      </w:r>
      <w:r w:rsidR="00466C87" w:rsidRPr="00466C87">
        <w:rPr>
          <w:rFonts w:cs="Times"/>
          <w:color w:val="000000"/>
          <w:sz w:val="24"/>
          <w:szCs w:val="24"/>
        </w:rPr>
        <w:t>.</w:t>
      </w:r>
    </w:p>
    <w:p w14:paraId="0D0B940D" w14:textId="77777777" w:rsidR="00126D79" w:rsidRDefault="00126D79" w:rsidP="00086D73">
      <w:pPr>
        <w:tabs>
          <w:tab w:val="left" w:pos="450"/>
        </w:tabs>
        <w:spacing w:after="0" w:line="240" w:lineRule="auto"/>
        <w:jc w:val="both"/>
        <w:rPr>
          <w:rFonts w:cs="Times"/>
          <w:color w:val="000000"/>
          <w:sz w:val="24"/>
          <w:szCs w:val="24"/>
        </w:rPr>
      </w:pPr>
    </w:p>
    <w:p w14:paraId="20A24E52" w14:textId="77777777" w:rsidR="001149F1" w:rsidRPr="001149F1" w:rsidRDefault="001149F1" w:rsidP="00086D73">
      <w:pPr>
        <w:pStyle w:val="BodyTextIndent2"/>
        <w:ind w:left="0"/>
        <w:jc w:val="both"/>
        <w:rPr>
          <w:rFonts w:asciiTheme="minorHAnsi" w:hAnsiTheme="minorHAnsi"/>
          <w:b/>
          <w:sz w:val="24"/>
          <w:szCs w:val="24"/>
        </w:rPr>
      </w:pPr>
      <w:r w:rsidRPr="001149F1">
        <w:rPr>
          <w:rFonts w:asciiTheme="minorHAnsi" w:hAnsiTheme="minorHAnsi"/>
          <w:b/>
          <w:sz w:val="24"/>
          <w:szCs w:val="24"/>
        </w:rPr>
        <w:t>In accordance with:</w:t>
      </w:r>
    </w:p>
    <w:p w14:paraId="0E27B00A" w14:textId="77777777" w:rsidR="001149F1" w:rsidRPr="001149F1" w:rsidRDefault="001149F1" w:rsidP="00086D73">
      <w:pPr>
        <w:pStyle w:val="BodyTextIndent2"/>
        <w:ind w:left="0"/>
        <w:jc w:val="both"/>
        <w:rPr>
          <w:rFonts w:asciiTheme="minorHAnsi" w:hAnsiTheme="minorHAnsi"/>
          <w:b/>
          <w:sz w:val="24"/>
          <w:szCs w:val="24"/>
        </w:rPr>
      </w:pPr>
    </w:p>
    <w:p w14:paraId="722921E0" w14:textId="77777777" w:rsidR="00F47F21" w:rsidRPr="00F47F21" w:rsidRDefault="00F47F21" w:rsidP="00F47F21">
      <w:pPr>
        <w:tabs>
          <w:tab w:val="left" w:pos="450"/>
        </w:tabs>
        <w:spacing w:after="0" w:line="240" w:lineRule="auto"/>
        <w:jc w:val="both"/>
        <w:rPr>
          <w:rFonts w:eastAsia="Times New Roman" w:cs="Times New Roman"/>
          <w:bCs/>
          <w:sz w:val="24"/>
          <w:szCs w:val="24"/>
        </w:rPr>
      </w:pPr>
      <w:r w:rsidRPr="00F47F21">
        <w:rPr>
          <w:rFonts w:eastAsia="Times New Roman" w:cs="Times New Roman"/>
          <w:bCs/>
          <w:sz w:val="24"/>
          <w:szCs w:val="24"/>
        </w:rPr>
        <w:t>For studies approved under the revised Common Rule:</w:t>
      </w:r>
    </w:p>
    <w:p w14:paraId="2F05909A" w14:textId="77777777" w:rsidR="00F47F21" w:rsidRPr="00F47F21" w:rsidRDefault="00F47F21" w:rsidP="00F47F21">
      <w:pPr>
        <w:tabs>
          <w:tab w:val="left" w:pos="450"/>
        </w:tabs>
        <w:spacing w:after="0" w:line="240" w:lineRule="auto"/>
        <w:jc w:val="both"/>
        <w:rPr>
          <w:rFonts w:eastAsia="Times New Roman" w:cs="Times New Roman"/>
          <w:bCs/>
          <w:sz w:val="24"/>
          <w:szCs w:val="24"/>
        </w:rPr>
      </w:pPr>
      <w:r w:rsidRPr="00F47F21">
        <w:rPr>
          <w:rFonts w:eastAsia="Times New Roman" w:cs="Times New Roman"/>
          <w:bCs/>
          <w:sz w:val="24"/>
          <w:szCs w:val="24"/>
        </w:rPr>
        <w:t xml:space="preserve">45 CFR 46.108(a)(4); 45 CFR 46.109; 45 CFR </w:t>
      </w:r>
      <w:proofErr w:type="gramStart"/>
      <w:r w:rsidRPr="00F47F21">
        <w:rPr>
          <w:rFonts w:eastAsia="Times New Roman" w:cs="Times New Roman"/>
          <w:bCs/>
          <w:sz w:val="24"/>
          <w:szCs w:val="24"/>
        </w:rPr>
        <w:t>46.113;</w:t>
      </w:r>
      <w:proofErr w:type="gramEnd"/>
      <w:r w:rsidRPr="00F47F21">
        <w:rPr>
          <w:rFonts w:eastAsia="Times New Roman" w:cs="Times New Roman"/>
          <w:bCs/>
          <w:sz w:val="24"/>
          <w:szCs w:val="24"/>
        </w:rPr>
        <w:t xml:space="preserve"> </w:t>
      </w:r>
    </w:p>
    <w:p w14:paraId="03893219" w14:textId="77777777" w:rsidR="00F47F21" w:rsidRPr="00F47F21" w:rsidRDefault="00F47F21" w:rsidP="00F47F21">
      <w:pPr>
        <w:tabs>
          <w:tab w:val="left" w:pos="450"/>
        </w:tabs>
        <w:spacing w:after="0" w:line="240" w:lineRule="auto"/>
        <w:jc w:val="both"/>
        <w:rPr>
          <w:rFonts w:eastAsia="Times New Roman" w:cs="Times New Roman"/>
          <w:bCs/>
          <w:sz w:val="24"/>
          <w:szCs w:val="24"/>
        </w:rPr>
      </w:pPr>
    </w:p>
    <w:p w14:paraId="4153ADDE" w14:textId="77777777" w:rsidR="00F47F21" w:rsidRPr="00F47F21" w:rsidRDefault="00F47F21" w:rsidP="00F47F21">
      <w:pPr>
        <w:tabs>
          <w:tab w:val="left" w:pos="450"/>
        </w:tabs>
        <w:spacing w:after="0" w:line="240" w:lineRule="auto"/>
        <w:jc w:val="both"/>
        <w:rPr>
          <w:rFonts w:eastAsia="Times New Roman" w:cs="Times New Roman"/>
          <w:bCs/>
          <w:sz w:val="24"/>
          <w:szCs w:val="24"/>
        </w:rPr>
      </w:pPr>
      <w:r w:rsidRPr="00F47F21">
        <w:rPr>
          <w:rFonts w:eastAsia="Times New Roman" w:cs="Times New Roman"/>
          <w:bCs/>
          <w:sz w:val="24"/>
          <w:szCs w:val="24"/>
        </w:rPr>
        <w:t>For studies approved under the Pre-2018 Common Rule:</w:t>
      </w:r>
    </w:p>
    <w:p w14:paraId="4241EDBF" w14:textId="77777777" w:rsidR="00F47F21" w:rsidRPr="00F47F21" w:rsidRDefault="00F47F21" w:rsidP="00F47F21">
      <w:pPr>
        <w:tabs>
          <w:tab w:val="left" w:pos="450"/>
        </w:tabs>
        <w:spacing w:after="0" w:line="240" w:lineRule="auto"/>
        <w:jc w:val="both"/>
        <w:rPr>
          <w:rFonts w:eastAsia="Times New Roman" w:cs="Times New Roman"/>
          <w:bCs/>
          <w:sz w:val="24"/>
          <w:szCs w:val="24"/>
        </w:rPr>
      </w:pPr>
      <w:r w:rsidRPr="00F47F21">
        <w:rPr>
          <w:rFonts w:eastAsia="Times New Roman" w:cs="Times New Roman"/>
          <w:bCs/>
          <w:sz w:val="24"/>
          <w:szCs w:val="24"/>
        </w:rPr>
        <w:t>45 CFR 46.103(b)(5); 45 CFR 46.109</w:t>
      </w:r>
    </w:p>
    <w:p w14:paraId="764A98E4" w14:textId="77777777" w:rsidR="00F47F21" w:rsidRPr="00F47F21" w:rsidRDefault="00F47F21" w:rsidP="00F47F21">
      <w:pPr>
        <w:tabs>
          <w:tab w:val="left" w:pos="450"/>
        </w:tabs>
        <w:spacing w:after="0" w:line="240" w:lineRule="auto"/>
        <w:jc w:val="both"/>
        <w:rPr>
          <w:rFonts w:eastAsia="Times New Roman" w:cs="Times New Roman"/>
          <w:bCs/>
          <w:sz w:val="24"/>
          <w:szCs w:val="24"/>
        </w:rPr>
      </w:pPr>
    </w:p>
    <w:p w14:paraId="26D8613C" w14:textId="77777777" w:rsidR="00F47F21" w:rsidRPr="00F47F21" w:rsidRDefault="00F47F21" w:rsidP="00F47F21">
      <w:pPr>
        <w:tabs>
          <w:tab w:val="left" w:pos="450"/>
        </w:tabs>
        <w:spacing w:after="0" w:line="240" w:lineRule="auto"/>
        <w:jc w:val="both"/>
        <w:rPr>
          <w:rFonts w:eastAsia="Times New Roman" w:cs="Times New Roman"/>
          <w:bCs/>
          <w:sz w:val="24"/>
          <w:szCs w:val="24"/>
        </w:rPr>
      </w:pPr>
      <w:r w:rsidRPr="00F47F21">
        <w:rPr>
          <w:rFonts w:eastAsia="Times New Roman" w:cs="Times New Roman"/>
          <w:bCs/>
          <w:sz w:val="24"/>
          <w:szCs w:val="24"/>
        </w:rPr>
        <w:t>For FDA-regulated studies:</w:t>
      </w:r>
    </w:p>
    <w:p w14:paraId="5616FEC1" w14:textId="77777777" w:rsidR="00F47F21" w:rsidRPr="00F47F21" w:rsidRDefault="00F47F21" w:rsidP="00F47F21">
      <w:pPr>
        <w:tabs>
          <w:tab w:val="left" w:pos="450"/>
        </w:tabs>
        <w:spacing w:after="0" w:line="240" w:lineRule="auto"/>
        <w:jc w:val="both"/>
        <w:rPr>
          <w:rFonts w:eastAsia="Times New Roman" w:cs="Times New Roman"/>
          <w:sz w:val="24"/>
          <w:szCs w:val="24"/>
        </w:rPr>
      </w:pPr>
      <w:r w:rsidRPr="00F47F21">
        <w:rPr>
          <w:rFonts w:eastAsia="Times New Roman" w:cs="Times New Roman"/>
          <w:sz w:val="24"/>
          <w:szCs w:val="24"/>
        </w:rPr>
        <w:t>21 CFR 56.108(b)</w:t>
      </w:r>
    </w:p>
    <w:p w14:paraId="4B3828A6" w14:textId="77777777" w:rsidR="00F47F21" w:rsidRPr="00F47F21" w:rsidRDefault="00F47F21" w:rsidP="00F47F21">
      <w:pPr>
        <w:tabs>
          <w:tab w:val="left" w:pos="450"/>
        </w:tabs>
        <w:spacing w:after="0" w:line="240" w:lineRule="auto"/>
        <w:jc w:val="both"/>
        <w:rPr>
          <w:rFonts w:eastAsia="Times New Roman" w:cs="Times New Roman"/>
          <w:b/>
          <w:sz w:val="24"/>
          <w:szCs w:val="24"/>
        </w:rPr>
      </w:pPr>
    </w:p>
    <w:p w14:paraId="32C4ED4D" w14:textId="447C4FC8" w:rsidR="00126D79" w:rsidRDefault="00F47F21" w:rsidP="00F47F21">
      <w:pPr>
        <w:tabs>
          <w:tab w:val="left" w:pos="450"/>
        </w:tabs>
        <w:spacing w:after="0" w:line="240" w:lineRule="auto"/>
        <w:jc w:val="both"/>
        <w:rPr>
          <w:sz w:val="24"/>
          <w:szCs w:val="24"/>
        </w:rPr>
      </w:pPr>
      <w:r w:rsidRPr="00F47F21">
        <w:rPr>
          <w:rFonts w:eastAsia="Times New Roman" w:cs="Times New Roman"/>
          <w:b/>
          <w:i/>
          <w:sz w:val="24"/>
          <w:szCs w:val="24"/>
        </w:rPr>
        <w:t>Compliance with this policy also requires compliance with state or local laws or regulations that provide additional protections for human subjects</w:t>
      </w:r>
      <w:r w:rsidR="001149F1" w:rsidRPr="001149F1">
        <w:rPr>
          <w:b/>
          <w:i/>
          <w:sz w:val="24"/>
          <w:szCs w:val="24"/>
        </w:rPr>
        <w:t>.</w:t>
      </w:r>
    </w:p>
    <w:p w14:paraId="45FB0818" w14:textId="77777777" w:rsidR="001149F1" w:rsidRDefault="001149F1" w:rsidP="00086D73">
      <w:pPr>
        <w:tabs>
          <w:tab w:val="left" w:pos="450"/>
        </w:tabs>
        <w:spacing w:after="0" w:line="240" w:lineRule="auto"/>
        <w:jc w:val="both"/>
        <w:rPr>
          <w:sz w:val="24"/>
          <w:szCs w:val="24"/>
        </w:rPr>
      </w:pPr>
    </w:p>
    <w:p w14:paraId="48C0B980" w14:textId="77777777" w:rsidR="00CD3B07" w:rsidRDefault="001149F1" w:rsidP="00086D73">
      <w:pPr>
        <w:tabs>
          <w:tab w:val="left" w:pos="450"/>
        </w:tabs>
        <w:spacing w:after="0" w:line="240" w:lineRule="auto"/>
        <w:jc w:val="both"/>
        <w:rPr>
          <w:rFonts w:cs="Arial"/>
          <w:color w:val="444444"/>
          <w:sz w:val="24"/>
          <w:szCs w:val="24"/>
        </w:rPr>
      </w:pPr>
      <w:r>
        <w:rPr>
          <w:b/>
          <w:color w:val="1F4E79" w:themeColor="accent1" w:themeShade="80"/>
          <w:sz w:val="28"/>
          <w:szCs w:val="28"/>
        </w:rPr>
        <w:t>IV.</w:t>
      </w:r>
      <w:r>
        <w:rPr>
          <w:b/>
          <w:color w:val="1F4E79" w:themeColor="accent1" w:themeShade="80"/>
          <w:sz w:val="28"/>
          <w:szCs w:val="28"/>
        </w:rPr>
        <w:tab/>
      </w:r>
      <w:r w:rsidR="00CD3B07">
        <w:rPr>
          <w:b/>
          <w:color w:val="1F4E79" w:themeColor="accent1" w:themeShade="80"/>
          <w:sz w:val="28"/>
          <w:szCs w:val="28"/>
        </w:rPr>
        <w:t>PROCEDURES</w:t>
      </w:r>
    </w:p>
    <w:p w14:paraId="049F31CB" w14:textId="77777777" w:rsidR="00CD3B07" w:rsidRPr="00F47F21" w:rsidRDefault="00CD3B07" w:rsidP="00086D73">
      <w:pPr>
        <w:spacing w:after="0" w:line="240" w:lineRule="auto"/>
        <w:jc w:val="both"/>
        <w:rPr>
          <w:bCs/>
          <w:sz w:val="24"/>
          <w:szCs w:val="24"/>
        </w:rPr>
      </w:pPr>
    </w:p>
    <w:p w14:paraId="12EC4A04" w14:textId="77777777" w:rsidR="00F47F21" w:rsidRPr="00F47F21" w:rsidRDefault="00F47F21" w:rsidP="004F303C">
      <w:pPr>
        <w:numPr>
          <w:ilvl w:val="1"/>
          <w:numId w:val="27"/>
        </w:numPr>
        <w:tabs>
          <w:tab w:val="clear" w:pos="2250"/>
        </w:tabs>
        <w:ind w:left="720" w:hanging="360"/>
        <w:jc w:val="both"/>
        <w:rPr>
          <w:bCs/>
          <w:sz w:val="24"/>
        </w:rPr>
      </w:pPr>
      <w:r w:rsidRPr="00F47F21">
        <w:rPr>
          <w:bCs/>
          <w:sz w:val="24"/>
        </w:rPr>
        <w:t>If the convened IRB disapproves, suspends, terminates, or stipulates corrective actions for submitted studies, the principal investigator (PI) will receive a letter of notification that includes the action and rationale of the Board’s decision via an outcome letter in iMedRIS.</w:t>
      </w:r>
    </w:p>
    <w:p w14:paraId="6EAE5886" w14:textId="77777777" w:rsidR="00F47F21" w:rsidRPr="00F47F21" w:rsidRDefault="00F47F21" w:rsidP="004F303C">
      <w:pPr>
        <w:numPr>
          <w:ilvl w:val="1"/>
          <w:numId w:val="27"/>
        </w:numPr>
        <w:tabs>
          <w:tab w:val="clear" w:pos="2250"/>
        </w:tabs>
        <w:ind w:left="720" w:hanging="360"/>
        <w:jc w:val="both"/>
        <w:rPr>
          <w:bCs/>
          <w:sz w:val="24"/>
        </w:rPr>
      </w:pPr>
      <w:r w:rsidRPr="00F47F21">
        <w:rPr>
          <w:bCs/>
          <w:sz w:val="24"/>
        </w:rPr>
        <w:t xml:space="preserve">The principal investigator may appeal the IRB’s decision regarding </w:t>
      </w:r>
      <w:proofErr w:type="gramStart"/>
      <w:r w:rsidRPr="00F47F21">
        <w:rPr>
          <w:bCs/>
          <w:sz w:val="24"/>
        </w:rPr>
        <w:t>disapproval;</w:t>
      </w:r>
      <w:proofErr w:type="gramEnd"/>
      <w:r w:rsidRPr="00F47F21">
        <w:rPr>
          <w:bCs/>
          <w:sz w:val="24"/>
        </w:rPr>
        <w:t xml:space="preserve"> study suspension, corrective actions, or termination.  Appeals will only be considered if a written request is submitted to the IRB Director within ten (10) business days after formal notification of the PI regarding the action of the IRB.  In the correspondence, the PI should identify the action that he or she wishes to </w:t>
      </w:r>
      <w:proofErr w:type="gramStart"/>
      <w:r w:rsidRPr="00F47F21">
        <w:rPr>
          <w:bCs/>
          <w:sz w:val="24"/>
        </w:rPr>
        <w:t>appeal, and</w:t>
      </w:r>
      <w:proofErr w:type="gramEnd"/>
      <w:r w:rsidRPr="00F47F21">
        <w:rPr>
          <w:bCs/>
          <w:sz w:val="24"/>
        </w:rPr>
        <w:t xml:space="preserve"> must explain clearly and completely the basis for the appeal.  The IRB Director will confer with the appropriate section chair to determine whether the appeal warrants further consideration.  If so, the appeal will be considered at the next meeting of the section of the Board that approved the original action being appealed.  At the discretion of the IRB Director and section chair, the PI may be granted the opportunity to make a presentation to the Board regarding the issue.  However, the presence of a personal attorney representing the PI will not be permitted.</w:t>
      </w:r>
    </w:p>
    <w:p w14:paraId="23681E79" w14:textId="77777777" w:rsidR="00F47F21" w:rsidRPr="00F47F21" w:rsidRDefault="00F47F21" w:rsidP="004F303C">
      <w:pPr>
        <w:numPr>
          <w:ilvl w:val="1"/>
          <w:numId w:val="27"/>
        </w:numPr>
        <w:tabs>
          <w:tab w:val="clear" w:pos="2250"/>
        </w:tabs>
        <w:ind w:left="720" w:hanging="360"/>
        <w:jc w:val="both"/>
        <w:rPr>
          <w:bCs/>
          <w:sz w:val="24"/>
        </w:rPr>
      </w:pPr>
      <w:r w:rsidRPr="00F47F21">
        <w:rPr>
          <w:bCs/>
          <w:sz w:val="24"/>
        </w:rPr>
        <w:t xml:space="preserve">The Board will review the response of the investigator and determine whether to uphold or vacate its original action.  The results of the Board’s deliberation and voting will be conveyed to the investigator in an outcome letter sent via iMedRIS. </w:t>
      </w:r>
    </w:p>
    <w:p w14:paraId="198058B6" w14:textId="77777777" w:rsidR="00F47F21" w:rsidRPr="00F47F21" w:rsidRDefault="00F47F21" w:rsidP="004F303C">
      <w:pPr>
        <w:numPr>
          <w:ilvl w:val="1"/>
          <w:numId w:val="27"/>
        </w:numPr>
        <w:tabs>
          <w:tab w:val="clear" w:pos="2250"/>
        </w:tabs>
        <w:ind w:left="720" w:hanging="360"/>
        <w:jc w:val="both"/>
        <w:rPr>
          <w:bCs/>
          <w:sz w:val="24"/>
        </w:rPr>
      </w:pPr>
      <w:r w:rsidRPr="00F47F21">
        <w:rPr>
          <w:bCs/>
          <w:sz w:val="24"/>
        </w:rPr>
        <w:t>The Board’s decision on the appeal is final and no further appeal is permitted.</w:t>
      </w:r>
    </w:p>
    <w:p w14:paraId="4D6CE030" w14:textId="321E5904" w:rsidR="00EE61EC" w:rsidRPr="0086694D" w:rsidRDefault="00EE61EC" w:rsidP="00195E09">
      <w:pPr>
        <w:ind w:left="720"/>
        <w:jc w:val="both"/>
      </w:pPr>
    </w:p>
    <w:sectPr w:rsidR="00EE61EC" w:rsidRPr="0086694D" w:rsidSect="00EE61EC">
      <w:footerReference w:type="even" r:id="rId8"/>
      <w:foot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CB99" w14:textId="77777777" w:rsidR="00BC3C0F" w:rsidRDefault="00BC3C0F" w:rsidP="000B2BAB">
      <w:pPr>
        <w:spacing w:after="0" w:line="240" w:lineRule="auto"/>
      </w:pPr>
      <w:r>
        <w:separator/>
      </w:r>
    </w:p>
  </w:endnote>
  <w:endnote w:type="continuationSeparator" w:id="0">
    <w:p w14:paraId="54354A61" w14:textId="77777777" w:rsidR="00BC3C0F" w:rsidRDefault="00BC3C0F" w:rsidP="000B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릀ׄ怀"/>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altName w:val="Times New Roman"/>
    <w:charset w:val="00"/>
    <w:family w:val="auto"/>
    <w:pitch w:val="variable"/>
    <w:sig w:usb0="00000001"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9D3BB9" w:rsidRDefault="007B2C4E" w:rsidP="000E70D5">
    <w:pPr>
      <w:pStyle w:val="Footer"/>
      <w:framePr w:wrap="around" w:vAnchor="text" w:hAnchor="margin" w:xAlign="right" w:y="1"/>
      <w:rPr>
        <w:rStyle w:val="PageNumber"/>
      </w:rPr>
    </w:pPr>
    <w:r>
      <w:rPr>
        <w:rStyle w:val="PageNumber"/>
      </w:rPr>
      <w:fldChar w:fldCharType="begin"/>
    </w:r>
    <w:r w:rsidR="009D3BB9">
      <w:rPr>
        <w:rStyle w:val="PageNumber"/>
      </w:rPr>
      <w:instrText xml:space="preserve">PAGE  </w:instrText>
    </w:r>
    <w:r>
      <w:rPr>
        <w:rStyle w:val="PageNumber"/>
      </w:rPr>
      <w:fldChar w:fldCharType="end"/>
    </w:r>
  </w:p>
  <w:p w14:paraId="70DF9E56" w14:textId="77777777" w:rsidR="009D3BB9" w:rsidRDefault="009D3BB9" w:rsidP="00126D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08D5" w14:textId="77777777" w:rsidR="009D3BB9" w:rsidRDefault="009D3BB9" w:rsidP="009D3BB9">
    <w:pPr>
      <w:pStyle w:val="Footer"/>
      <w:framePr w:wrap="around" w:vAnchor="text" w:hAnchor="margin" w:xAlign="right" w:y="1"/>
      <w:rPr>
        <w:rStyle w:val="PageNumber"/>
      </w:rPr>
    </w:pPr>
    <w:r>
      <w:rPr>
        <w:rStyle w:val="PageNumber"/>
      </w:rPr>
      <w:t xml:space="preserve">PAGE </w:t>
    </w:r>
    <w:r w:rsidR="007B2C4E">
      <w:rPr>
        <w:rStyle w:val="PageNumber"/>
      </w:rPr>
      <w:fldChar w:fldCharType="begin"/>
    </w:r>
    <w:r>
      <w:rPr>
        <w:rStyle w:val="PageNumber"/>
      </w:rPr>
      <w:instrText xml:space="preserve">PAGE  </w:instrText>
    </w:r>
    <w:r w:rsidR="007B2C4E">
      <w:rPr>
        <w:rStyle w:val="PageNumber"/>
      </w:rPr>
      <w:fldChar w:fldCharType="separate"/>
    </w:r>
    <w:r w:rsidR="00996230">
      <w:rPr>
        <w:rStyle w:val="PageNumber"/>
        <w:noProof/>
      </w:rPr>
      <w:t>4</w:t>
    </w:r>
    <w:r w:rsidR="007B2C4E">
      <w:rPr>
        <w:rStyle w:val="PageNumber"/>
      </w:rPr>
      <w:fldChar w:fldCharType="end"/>
    </w:r>
  </w:p>
  <w:p w14:paraId="4733172A" w14:textId="1D8A89E3" w:rsidR="009D3BB9" w:rsidRPr="008C2D03" w:rsidRDefault="009D3BB9" w:rsidP="00126D79">
    <w:pPr>
      <w:pStyle w:val="Footer"/>
      <w:pBdr>
        <w:top w:val="single" w:sz="4" w:space="8" w:color="5B9BD5" w:themeColor="accent1"/>
      </w:pBdr>
      <w:tabs>
        <w:tab w:val="clear" w:pos="4680"/>
      </w:tabs>
      <w:spacing w:before="360"/>
      <w:ind w:right="360"/>
      <w:contextualSpacing/>
      <w:rPr>
        <w:rFonts w:ascii="Century Gothic" w:hAnsi="Century Gothic"/>
        <w:b/>
        <w:noProof/>
        <w:color w:val="404040" w:themeColor="text1" w:themeTint="BF"/>
        <w:sz w:val="20"/>
        <w:szCs w:val="20"/>
      </w:rPr>
    </w:pPr>
    <w:r>
      <w:rPr>
        <w:rFonts w:ascii="Century Gothic" w:hAnsi="Century Gothic"/>
        <w:b/>
        <w:noProof/>
        <w:color w:val="404040" w:themeColor="text1" w:themeTint="BF"/>
        <w:sz w:val="20"/>
        <w:szCs w:val="20"/>
      </w:rPr>
      <w:t xml:space="preserve">UTHSC IRB: </w:t>
    </w:r>
    <w:r w:rsidR="00713FEF" w:rsidRPr="00713FEF">
      <w:rPr>
        <w:rFonts w:ascii="Century Gothic" w:hAnsi="Century Gothic"/>
        <w:b/>
        <w:noProof/>
        <w:color w:val="404040" w:themeColor="text1" w:themeTint="BF"/>
        <w:sz w:val="20"/>
        <w:szCs w:val="20"/>
      </w:rPr>
      <w:t>Appeal of IRB Decisions</w:t>
    </w:r>
    <w:r w:rsidRPr="008C2D03">
      <w:rPr>
        <w:rFonts w:ascii="Century Gothic" w:hAnsi="Century Gothic"/>
        <w:b/>
        <w:noProof/>
        <w:color w:val="404040" w:themeColor="text1" w:themeTint="BF"/>
        <w:sz w:val="20"/>
        <w:szCs w:val="20"/>
      </w:rPr>
      <w:tab/>
    </w:r>
  </w:p>
  <w:p w14:paraId="61829076" w14:textId="77777777" w:rsidR="009D3BB9" w:rsidRPr="008C2D03" w:rsidRDefault="009D3BB9">
    <w:pPr>
      <w:pStyle w:val="Footer"/>
      <w:rPr>
        <w:rFonts w:ascii="Century Gothic" w:hAnsi="Century Gothic"/>
        <w:b/>
        <w:color w:val="C45911" w:themeColor="accent2" w:themeShade="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1AE9" w14:textId="77777777" w:rsidR="00BC3C0F" w:rsidRDefault="00BC3C0F" w:rsidP="000B2BAB">
      <w:pPr>
        <w:spacing w:after="0" w:line="240" w:lineRule="auto"/>
      </w:pPr>
      <w:r>
        <w:separator/>
      </w:r>
    </w:p>
  </w:footnote>
  <w:footnote w:type="continuationSeparator" w:id="0">
    <w:p w14:paraId="3E552F32" w14:textId="77777777" w:rsidR="00BC3C0F" w:rsidRDefault="00BC3C0F" w:rsidP="000B2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B655" w14:textId="062D3885" w:rsidR="009D3BB9" w:rsidRPr="000803B1" w:rsidRDefault="009D3BB9" w:rsidP="000803B1">
    <w:pPr>
      <w:tabs>
        <w:tab w:val="center" w:pos="4680"/>
        <w:tab w:val="right" w:pos="9360"/>
      </w:tabs>
      <w:spacing w:after="0" w:line="240" w:lineRule="auto"/>
      <w:jc w:val="center"/>
      <w:rPr>
        <w:rFonts w:ascii="Century Gothic" w:hAnsi="Century Gothic"/>
        <w:b/>
        <w:sz w:val="28"/>
        <w:szCs w:val="28"/>
      </w:rPr>
    </w:pPr>
    <w:r w:rsidRPr="00094489">
      <w:rPr>
        <w:rFonts w:ascii="Century Gothic" w:hAnsi="Century Gothic"/>
        <w:noProof/>
        <w:sz w:val="18"/>
      </w:rPr>
      <w:drawing>
        <wp:anchor distT="0" distB="0" distL="114300" distR="114300" simplePos="0" relativeHeight="251659264" behindDoc="0" locked="0" layoutInCell="1" allowOverlap="1" wp14:anchorId="091F3CCB" wp14:editId="07777777">
          <wp:simplePos x="0" y="0"/>
          <wp:positionH relativeFrom="column">
            <wp:posOffset>-695325</wp:posOffset>
          </wp:positionH>
          <wp:positionV relativeFrom="paragraph">
            <wp:posOffset>-193675</wp:posOffset>
          </wp:positionV>
          <wp:extent cx="1371600" cy="843280"/>
          <wp:effectExtent l="19050" t="0" r="0" b="0"/>
          <wp:wrapThrough wrapText="bothSides">
            <wp:wrapPolygon edited="0">
              <wp:start x="-300" y="0"/>
              <wp:lineTo x="-300" y="20982"/>
              <wp:lineTo x="21600" y="20982"/>
              <wp:lineTo x="21600" y="0"/>
              <wp:lineTo x="-300" y="0"/>
            </wp:wrapPolygon>
          </wp:wrapThrough>
          <wp:docPr id="4" name="Picture 4" descr="UTHSC CAMPUS LOGO C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HSC CAMPUS LOGO CENTERED"/>
                  <pic:cNvPicPr>
                    <a:picLocks noChangeAspect="1" noChangeArrowheads="1"/>
                  </pic:cNvPicPr>
                </pic:nvPicPr>
                <pic:blipFill>
                  <a:blip r:embed="rId1"/>
                  <a:stretch>
                    <a:fillRect/>
                  </a:stretch>
                </pic:blipFill>
                <pic:spPr bwMode="auto">
                  <a:xfrm>
                    <a:off x="0" y="0"/>
                    <a:ext cx="1371600" cy="843280"/>
                  </a:xfrm>
                  <a:prstGeom prst="rect">
                    <a:avLst/>
                  </a:prstGeom>
                  <a:noFill/>
                  <a:ln>
                    <a:noFill/>
                  </a:ln>
                </pic:spPr>
              </pic:pic>
            </a:graphicData>
          </a:graphic>
        </wp:anchor>
      </w:drawing>
    </w:r>
    <w:r w:rsidR="00182D75">
      <w:rPr>
        <w:rFonts w:ascii="Avenir Book" w:hAnsi="Avenir Book"/>
        <w:b/>
        <w:noProof/>
        <w:sz w:val="18"/>
      </w:rPr>
      <mc:AlternateContent>
        <mc:Choice Requires="wps">
          <w:drawing>
            <wp:anchor distT="0" distB="0" distL="114300" distR="114300" simplePos="0" relativeHeight="251662336" behindDoc="0" locked="0" layoutInCell="1" allowOverlap="1" wp14:anchorId="42A06FF1" wp14:editId="17D5F539">
              <wp:simplePos x="0" y="0"/>
              <wp:positionH relativeFrom="column">
                <wp:posOffset>5630545</wp:posOffset>
              </wp:positionH>
              <wp:positionV relativeFrom="paragraph">
                <wp:posOffset>-278130</wp:posOffset>
              </wp:positionV>
              <wp:extent cx="953770" cy="9620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3770" cy="962025"/>
                      </a:xfrm>
                      <a:prstGeom prst="rect">
                        <a:avLst/>
                      </a:prstGeom>
                      <a:noFill/>
                      <a:ln>
                        <a:noFill/>
                      </a:ln>
                      <a:effectLst/>
                    </wps:spPr>
                    <wps:txbx>
                      <w:txbxContent>
                        <w:p w14:paraId="5968B07C"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Memphis</w:t>
                          </w:r>
                        </w:p>
                        <w:p w14:paraId="43106ACE"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Knoxville</w:t>
                          </w:r>
                        </w:p>
                        <w:p w14:paraId="67CCA7FE"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Chattanooga</w:t>
                          </w:r>
                        </w:p>
                        <w:p w14:paraId="6F6F3234" w14:textId="77777777" w:rsidR="009D3BB9" w:rsidRPr="00094489" w:rsidRDefault="009D3BB9" w:rsidP="000803B1">
                          <w:pPr>
                            <w:spacing w:line="360" w:lineRule="auto"/>
                            <w:jc w:val="right"/>
                            <w:rPr>
                              <w:rFonts w:ascii="Century Gothic" w:hAnsi="Century Gothic"/>
                              <w:sz w:val="18"/>
                            </w:rPr>
                          </w:pPr>
                          <w:r w:rsidRPr="00094489">
                            <w:rPr>
                              <w:rFonts w:ascii="Century Gothic" w:hAnsi="Century Gothic"/>
                              <w:sz w:val="18"/>
                            </w:rPr>
                            <w:t>Nashville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2A06FF1" id="_x0000_t202" coordsize="21600,21600" o:spt="202" path="m,l,21600r21600,l21600,xe">
              <v:stroke joinstyle="miter"/>
              <v:path gradientshapeok="t" o:connecttype="rect"/>
            </v:shapetype>
            <v:shape id="Text Box 7" o:spid="_x0000_s1026" type="#_x0000_t202" style="position:absolute;left:0;text-align:left;margin-left:443.35pt;margin-top:-21.9pt;width:75.1pt;height:75.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" filled="f" stroked="f">
              <v:textbox>
                <w:txbxContent>
                  <w:p w14:paraId="5968B07C"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Memphis</w:t>
                    </w:r>
                  </w:p>
                  <w:p w14:paraId="43106ACE"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Knoxville</w:t>
                    </w:r>
                  </w:p>
                  <w:p w14:paraId="67CCA7FE"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Chattanooga</w:t>
                    </w:r>
                  </w:p>
                  <w:p w14:paraId="6F6F3234" w14:textId="77777777" w:rsidR="009D3BB9" w:rsidRPr="00094489" w:rsidRDefault="009D3BB9" w:rsidP="000803B1">
                    <w:pPr>
                      <w:spacing w:line="360" w:lineRule="auto"/>
                      <w:jc w:val="right"/>
                      <w:rPr>
                        <w:rFonts w:ascii="Century Gothic" w:hAnsi="Century Gothic"/>
                        <w:sz w:val="18"/>
                      </w:rPr>
                    </w:pPr>
                    <w:r w:rsidRPr="00094489">
                      <w:rPr>
                        <w:rFonts w:ascii="Century Gothic" w:hAnsi="Century Gothic"/>
                        <w:sz w:val="18"/>
                      </w:rPr>
                      <w:t>Nashville</w:t>
                    </w:r>
                  </w:p>
                </w:txbxContent>
              </v:textbox>
            </v:shape>
          </w:pict>
        </mc:Fallback>
      </mc:AlternateContent>
    </w:r>
    <w:r w:rsidR="5F494C4C" w:rsidRPr="5F494C4C">
      <w:rPr>
        <w:rFonts w:ascii="Century Gothic" w:hAnsi="Century Gothic"/>
        <w:b/>
        <w:bCs/>
        <w:sz w:val="28"/>
        <w:szCs w:val="28"/>
      </w:rPr>
      <w:t>INSTITUTIONAL REVIEW BOARD</w:t>
    </w:r>
  </w:p>
  <w:p w14:paraId="673571A1" w14:textId="698A581E" w:rsidR="009D3BB9" w:rsidRPr="000803B1" w:rsidRDefault="00031B63" w:rsidP="000803B1">
    <w:pPr>
      <w:tabs>
        <w:tab w:val="center" w:pos="4680"/>
        <w:tab w:val="right" w:pos="9360"/>
      </w:tabs>
      <w:spacing w:after="0" w:line="240" w:lineRule="auto"/>
      <w:jc w:val="center"/>
      <w:rPr>
        <w:rFonts w:ascii="Century Gothic" w:hAnsi="Century Gothic"/>
        <w:b/>
        <w:sz w:val="28"/>
        <w:szCs w:val="28"/>
      </w:rPr>
    </w:pPr>
    <w:r w:rsidRPr="00031B63">
      <w:rPr>
        <w:rFonts w:ascii="Century Gothic" w:hAnsi="Century Gothic"/>
        <w:b/>
        <w:sz w:val="28"/>
        <w:szCs w:val="28"/>
      </w:rPr>
      <w:t>Appeal of IRB Decisions</w:t>
    </w:r>
    <w:r w:rsidRPr="00031B63" w:rsidDel="00031B63">
      <w:rPr>
        <w:rFonts w:ascii="Century Gothic" w:hAnsi="Century Gothic"/>
        <w:b/>
        <w:sz w:val="28"/>
        <w:szCs w:val="28"/>
      </w:rPr>
      <w:t xml:space="preserve"> </w:t>
    </w:r>
  </w:p>
  <w:p w14:paraId="5630AD66" w14:textId="77777777" w:rsidR="009D3BB9" w:rsidRPr="000803B1" w:rsidRDefault="009D3BB9" w:rsidP="00080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662"/>
    <w:multiLevelType w:val="hybridMultilevel"/>
    <w:tmpl w:val="F03E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F28FE"/>
    <w:multiLevelType w:val="multilevel"/>
    <w:tmpl w:val="B50885C4"/>
    <w:lvl w:ilvl="0">
      <w:start w:val="1"/>
      <w:numFmt w:val="upperRoman"/>
      <w:lvlText w:val="%1. "/>
      <w:lvlJc w:val="left"/>
      <w:pPr>
        <w:tabs>
          <w:tab w:val="num" w:pos="1440"/>
        </w:tabs>
        <w:ind w:left="1440" w:hanging="720"/>
      </w:pPr>
      <w:rPr>
        <w:rFonts w:ascii="Times New Roman" w:hAnsi="Times New Roman" w:hint="default"/>
        <w:b w:val="0"/>
        <w:i w:val="0"/>
        <w:sz w:val="24"/>
        <w:u w:val="none"/>
      </w:rPr>
    </w:lvl>
    <w:lvl w:ilvl="1">
      <w:start w:val="1"/>
      <w:numFmt w:val="decimal"/>
      <w:lvlText w:val="%2."/>
      <w:lvlJc w:val="left"/>
      <w:pPr>
        <w:tabs>
          <w:tab w:val="num" w:pos="2250"/>
        </w:tabs>
        <w:ind w:left="2250" w:hanging="720"/>
      </w:pPr>
      <w:rPr>
        <w:rFonts w:hint="default"/>
        <w:b w:val="0"/>
        <w:i w:val="0"/>
      </w:rPr>
    </w:lvl>
    <w:lvl w:ilvl="2">
      <w:start w:val="1"/>
      <w:numFmt w:val="low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3"/>
      <w:numFmt w:val="decimal"/>
      <w:lvlText w:val="%5)."/>
      <w:lvlJc w:val="left"/>
      <w:pPr>
        <w:tabs>
          <w:tab w:val="num" w:pos="4320"/>
        </w:tabs>
        <w:ind w:left="4320" w:hanging="720"/>
      </w:pPr>
      <w:rPr>
        <w:rFonts w:hint="default"/>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77D66F6"/>
    <w:multiLevelType w:val="multilevel"/>
    <w:tmpl w:val="2DA44BCE"/>
    <w:lvl w:ilvl="0">
      <w:start w:val="2"/>
      <w:numFmt w:val="decimal"/>
      <w:lvlText w:val="%1. "/>
      <w:lvlJc w:val="left"/>
      <w:pPr>
        <w:tabs>
          <w:tab w:val="num" w:pos="1440"/>
        </w:tabs>
        <w:ind w:left="1440" w:hanging="720"/>
      </w:pPr>
      <w:rPr>
        <w:rFonts w:ascii="Times New Roman" w:hAnsi="Times New Roman" w:hint="default"/>
        <w:b/>
        <w:i w:val="0"/>
        <w:sz w:val="24"/>
        <w:u w:val="none"/>
      </w:rPr>
    </w:lvl>
    <w:lvl w:ilvl="1">
      <w:start w:val="2"/>
      <w:numFmt w:val="lowerLetter"/>
      <w:lvlText w:val="%2."/>
      <w:lvlJc w:val="left"/>
      <w:pPr>
        <w:tabs>
          <w:tab w:val="num" w:pos="2160"/>
        </w:tabs>
        <w:ind w:left="2160" w:hanging="720"/>
      </w:pPr>
      <w:rPr>
        <w:rFonts w:hint="default"/>
      </w:rPr>
    </w:lvl>
    <w:lvl w:ilvl="2">
      <w:start w:val="1"/>
      <w:numFmt w:val="lowerRoman"/>
      <w:lvlRestart w:val="0"/>
      <w:lvlText w:val="%3."/>
      <w:lvlJc w:val="left"/>
      <w:pPr>
        <w:tabs>
          <w:tab w:val="num" w:pos="2880"/>
        </w:tabs>
        <w:ind w:left="288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 w15:restartNumberingAfterBreak="0">
    <w:nsid w:val="09F95538"/>
    <w:multiLevelType w:val="hybridMultilevel"/>
    <w:tmpl w:val="061A68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AD5E10"/>
    <w:multiLevelType w:val="multilevel"/>
    <w:tmpl w:val="B762B2F8"/>
    <w:lvl w:ilvl="0">
      <w:start w:val="1"/>
      <w:numFmt w:val="decimal"/>
      <w:lvlText w:val="%1. "/>
      <w:lvlJc w:val="left"/>
      <w:pPr>
        <w:tabs>
          <w:tab w:val="num" w:pos="1440"/>
        </w:tabs>
        <w:ind w:left="1440" w:hanging="720"/>
      </w:pPr>
      <w:rPr>
        <w:rFonts w:ascii="Times New Roman" w:hAnsi="Times New Roman" w:hint="default"/>
        <w:b/>
        <w:i w:val="0"/>
        <w:sz w:val="24"/>
        <w:u w:val="none"/>
      </w:rPr>
    </w:lvl>
    <w:lvl w:ilvl="1">
      <w:start w:val="1"/>
      <w:numFmt w:val="lowerLetter"/>
      <w:lvlText w:val="%2."/>
      <w:lvlJc w:val="left"/>
      <w:pPr>
        <w:tabs>
          <w:tab w:val="num" w:pos="2880"/>
        </w:tabs>
        <w:ind w:left="2880" w:hanging="720"/>
      </w:pPr>
      <w:rPr>
        <w:rFonts w:hint="default"/>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Roman"/>
      <w:lvlText w:val="%5."/>
      <w:lvlJc w:val="righ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15:restartNumberingAfterBreak="0">
    <w:nsid w:val="159F31EB"/>
    <w:multiLevelType w:val="hybridMultilevel"/>
    <w:tmpl w:val="1714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E340F"/>
    <w:multiLevelType w:val="multilevel"/>
    <w:tmpl w:val="238C2A28"/>
    <w:lvl w:ilvl="0">
      <w:start w:val="2"/>
      <w:numFmt w:val="decimal"/>
      <w:lvlText w:val="%1. "/>
      <w:lvlJc w:val="left"/>
      <w:pPr>
        <w:tabs>
          <w:tab w:val="num" w:pos="1440"/>
        </w:tabs>
        <w:ind w:left="1440" w:hanging="720"/>
      </w:pPr>
      <w:rPr>
        <w:rFonts w:ascii="Times New Roman" w:hAnsi="Times New Roman" w:hint="default"/>
        <w:b/>
        <w:i w:val="0"/>
        <w:sz w:val="24"/>
        <w:u w:val="none"/>
      </w:rPr>
    </w:lvl>
    <w:lvl w:ilvl="1">
      <w:start w:val="1"/>
      <w:numFmt w:val="lowerLetter"/>
      <w:lvlText w:val="%2."/>
      <w:lvlJc w:val="left"/>
      <w:pPr>
        <w:tabs>
          <w:tab w:val="num" w:pos="2160"/>
        </w:tabs>
        <w:ind w:left="2160" w:hanging="720"/>
      </w:pPr>
      <w:rPr>
        <w:rFonts w:hint="default"/>
      </w:rPr>
    </w:lvl>
    <w:lvl w:ilvl="2">
      <w:start w:val="1"/>
      <w:numFmt w:val="lowerRoman"/>
      <w:lvlRestart w:val="0"/>
      <w:lvlText w:val="%3."/>
      <w:lvlJc w:val="left"/>
      <w:pPr>
        <w:tabs>
          <w:tab w:val="num" w:pos="2880"/>
        </w:tabs>
        <w:ind w:left="288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1AC07BF9"/>
    <w:multiLevelType w:val="hybridMultilevel"/>
    <w:tmpl w:val="C2CCB9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E32FF6"/>
    <w:multiLevelType w:val="hybridMultilevel"/>
    <w:tmpl w:val="664CD15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C21C07"/>
    <w:multiLevelType w:val="multilevel"/>
    <w:tmpl w:val="5BAA245C"/>
    <w:lvl w:ilvl="0">
      <w:start w:val="1"/>
      <w:numFmt w:val="decimal"/>
      <w:lvlText w:val="%1. "/>
      <w:lvlJc w:val="left"/>
      <w:pPr>
        <w:tabs>
          <w:tab w:val="num" w:pos="1440"/>
        </w:tabs>
        <w:ind w:left="1440" w:hanging="720"/>
      </w:pPr>
      <w:rPr>
        <w:rFonts w:ascii="Times New Roman" w:hAnsi="Times New Roman" w:hint="default"/>
        <w:b/>
        <w:i w:val="0"/>
        <w:sz w:val="24"/>
        <w:u w:val="none"/>
      </w:rPr>
    </w:lvl>
    <w:lvl w:ilvl="1">
      <w:start w:val="1"/>
      <w:numFmt w:val="lowerLetter"/>
      <w:lvlText w:val="%2."/>
      <w:lvlJc w:val="left"/>
      <w:pPr>
        <w:tabs>
          <w:tab w:val="num" w:pos="2880"/>
        </w:tabs>
        <w:ind w:left="2880" w:hanging="720"/>
      </w:pPr>
      <w:rPr>
        <w:rFonts w:hint="default"/>
        <w:b w:val="0"/>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0" w15:restartNumberingAfterBreak="0">
    <w:nsid w:val="288946E5"/>
    <w:multiLevelType w:val="hybridMultilevel"/>
    <w:tmpl w:val="A7BE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F175E"/>
    <w:multiLevelType w:val="hybridMultilevel"/>
    <w:tmpl w:val="5642A08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454E34"/>
    <w:multiLevelType w:val="hybridMultilevel"/>
    <w:tmpl w:val="E91A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61F6D"/>
    <w:multiLevelType w:val="hybridMultilevel"/>
    <w:tmpl w:val="9174B4E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0C15447"/>
    <w:multiLevelType w:val="hybridMultilevel"/>
    <w:tmpl w:val="CE4E452E"/>
    <w:lvl w:ilvl="0" w:tplc="04090019">
      <w:start w:val="1"/>
      <w:numFmt w:val="lowerLetter"/>
      <w:lvlText w:val="%1."/>
      <w:lvlJc w:val="left"/>
      <w:pPr>
        <w:ind w:left="-1170" w:hanging="360"/>
      </w:pPr>
    </w:lvl>
    <w:lvl w:ilvl="1" w:tplc="04090019">
      <w:start w:val="1"/>
      <w:numFmt w:val="lowerLetter"/>
      <w:lvlText w:val="%2."/>
      <w:lvlJc w:val="left"/>
      <w:pPr>
        <w:ind w:left="-450" w:hanging="360"/>
      </w:pPr>
    </w:lvl>
    <w:lvl w:ilvl="2" w:tplc="0409001B">
      <w:start w:val="1"/>
      <w:numFmt w:val="lowerRoman"/>
      <w:lvlText w:val="%3."/>
      <w:lvlJc w:val="right"/>
      <w:pPr>
        <w:ind w:left="270" w:hanging="180"/>
      </w:pPr>
    </w:lvl>
    <w:lvl w:ilvl="3" w:tplc="0409000F">
      <w:start w:val="1"/>
      <w:numFmt w:val="decimal"/>
      <w:lvlText w:val="%4."/>
      <w:lvlJc w:val="left"/>
      <w:pPr>
        <w:ind w:left="990" w:hanging="360"/>
      </w:pPr>
    </w:lvl>
    <w:lvl w:ilvl="4" w:tplc="04090019" w:tentative="1">
      <w:start w:val="1"/>
      <w:numFmt w:val="lowerLetter"/>
      <w:lvlText w:val="%5."/>
      <w:lvlJc w:val="left"/>
      <w:pPr>
        <w:ind w:left="1710" w:hanging="360"/>
      </w:pPr>
    </w:lvl>
    <w:lvl w:ilvl="5" w:tplc="0409001B" w:tentative="1">
      <w:start w:val="1"/>
      <w:numFmt w:val="lowerRoman"/>
      <w:lvlText w:val="%6."/>
      <w:lvlJc w:val="right"/>
      <w:pPr>
        <w:ind w:left="2430" w:hanging="180"/>
      </w:pPr>
    </w:lvl>
    <w:lvl w:ilvl="6" w:tplc="0409000F" w:tentative="1">
      <w:start w:val="1"/>
      <w:numFmt w:val="decimal"/>
      <w:lvlText w:val="%7."/>
      <w:lvlJc w:val="left"/>
      <w:pPr>
        <w:ind w:left="3150" w:hanging="360"/>
      </w:pPr>
    </w:lvl>
    <w:lvl w:ilvl="7" w:tplc="04090019" w:tentative="1">
      <w:start w:val="1"/>
      <w:numFmt w:val="lowerLetter"/>
      <w:lvlText w:val="%8."/>
      <w:lvlJc w:val="left"/>
      <w:pPr>
        <w:ind w:left="3870" w:hanging="360"/>
      </w:pPr>
    </w:lvl>
    <w:lvl w:ilvl="8" w:tplc="0409001B" w:tentative="1">
      <w:start w:val="1"/>
      <w:numFmt w:val="lowerRoman"/>
      <w:lvlText w:val="%9."/>
      <w:lvlJc w:val="right"/>
      <w:pPr>
        <w:ind w:left="4590" w:hanging="180"/>
      </w:pPr>
    </w:lvl>
  </w:abstractNum>
  <w:abstractNum w:abstractNumId="15" w15:restartNumberingAfterBreak="0">
    <w:nsid w:val="55137152"/>
    <w:multiLevelType w:val="hybridMultilevel"/>
    <w:tmpl w:val="24067916"/>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7CE3554"/>
    <w:multiLevelType w:val="multilevel"/>
    <w:tmpl w:val="1152EF64"/>
    <w:lvl w:ilvl="0">
      <w:start w:val="1"/>
      <w:numFmt w:val="decimal"/>
      <w:lvlText w:val="%1. "/>
      <w:lvlJc w:val="left"/>
      <w:pPr>
        <w:tabs>
          <w:tab w:val="num" w:pos="1440"/>
        </w:tabs>
        <w:ind w:left="1440" w:hanging="720"/>
      </w:pPr>
      <w:rPr>
        <w:rFonts w:ascii="Times New Roman" w:hAnsi="Times New Roman" w:hint="default"/>
        <w:b w:val="0"/>
        <w:i w:val="0"/>
        <w:sz w:val="24"/>
        <w:u w:val="none"/>
      </w:rPr>
    </w:lvl>
    <w:lvl w:ilvl="1">
      <w:start w:val="1"/>
      <w:numFmt w:val="lowerLetter"/>
      <w:lvlText w:val="%2."/>
      <w:lvlJc w:val="left"/>
      <w:pPr>
        <w:tabs>
          <w:tab w:val="num" w:pos="2340"/>
        </w:tabs>
        <w:ind w:left="2340" w:hanging="720"/>
      </w:pPr>
      <w:rPr>
        <w:rFonts w:hint="default"/>
        <w:sz w:val="24"/>
        <w:szCs w:val="24"/>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7" w15:restartNumberingAfterBreak="0">
    <w:nsid w:val="584760D4"/>
    <w:multiLevelType w:val="multilevel"/>
    <w:tmpl w:val="C7686480"/>
    <w:lvl w:ilvl="0">
      <w:start w:val="1"/>
      <w:numFmt w:val="decimal"/>
      <w:lvlText w:val="%1. "/>
      <w:lvlJc w:val="left"/>
      <w:pPr>
        <w:tabs>
          <w:tab w:val="num" w:pos="1440"/>
        </w:tabs>
        <w:ind w:left="1440" w:hanging="720"/>
      </w:pPr>
      <w:rPr>
        <w:rFonts w:ascii="Times New Roman" w:hAnsi="Times New Roman" w:hint="default"/>
        <w:b/>
        <w:i w:val="0"/>
        <w:sz w:val="24"/>
        <w:u w:val="none"/>
      </w:rPr>
    </w:lvl>
    <w:lvl w:ilvl="1">
      <w:start w:val="1"/>
      <w:numFmt w:val="lowerLetter"/>
      <w:lvlText w:val="%2."/>
      <w:lvlJc w:val="left"/>
      <w:pPr>
        <w:tabs>
          <w:tab w:val="num" w:pos="2880"/>
        </w:tabs>
        <w:ind w:left="2880" w:hanging="720"/>
      </w:pPr>
      <w:rPr>
        <w:rFonts w:hint="default"/>
        <w:b w:val="0"/>
      </w:rPr>
    </w:lvl>
    <w:lvl w:ilvl="2">
      <w:start w:val="1"/>
      <w:numFmt w:val="lowerRoman"/>
      <w:lvlText w:val="%3."/>
      <w:lvlJc w:val="righ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8" w15:restartNumberingAfterBreak="0">
    <w:nsid w:val="5B4A6560"/>
    <w:multiLevelType w:val="hybridMultilevel"/>
    <w:tmpl w:val="B62071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E8625A"/>
    <w:multiLevelType w:val="hybridMultilevel"/>
    <w:tmpl w:val="2DB4A1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C72C50"/>
    <w:multiLevelType w:val="multilevel"/>
    <w:tmpl w:val="77823934"/>
    <w:lvl w:ilvl="0">
      <w:start w:val="1"/>
      <w:numFmt w:val="decimal"/>
      <w:lvlText w:val="%1. "/>
      <w:lvlJc w:val="left"/>
      <w:pPr>
        <w:tabs>
          <w:tab w:val="num" w:pos="1440"/>
        </w:tabs>
        <w:ind w:left="1440" w:hanging="720"/>
      </w:pPr>
      <w:rPr>
        <w:rFonts w:ascii="Times New Roman" w:hAnsi="Times New Roman" w:hint="default"/>
        <w:b w:val="0"/>
        <w:i w:val="0"/>
        <w:sz w:val="24"/>
        <w:u w:val="none"/>
      </w:rPr>
    </w:lvl>
    <w:lvl w:ilvl="1">
      <w:start w:val="1"/>
      <w:numFmt w:val="lowerRoman"/>
      <w:lvlText w:val="%2."/>
      <w:lvlJc w:val="right"/>
      <w:pPr>
        <w:tabs>
          <w:tab w:val="num" w:pos="2340"/>
        </w:tabs>
        <w:ind w:left="2340" w:hanging="720"/>
      </w:pPr>
      <w:rPr>
        <w:rFonts w:hint="default"/>
        <w:sz w:val="24"/>
        <w:szCs w:val="24"/>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1" w15:restartNumberingAfterBreak="0">
    <w:nsid w:val="6CA717A7"/>
    <w:multiLevelType w:val="multilevel"/>
    <w:tmpl w:val="11E8705E"/>
    <w:lvl w:ilvl="0">
      <w:start w:val="1"/>
      <w:numFmt w:val="decimal"/>
      <w:lvlText w:val="%1. "/>
      <w:lvlJc w:val="left"/>
      <w:pPr>
        <w:tabs>
          <w:tab w:val="num" w:pos="1440"/>
        </w:tabs>
        <w:ind w:left="1440" w:hanging="720"/>
      </w:pPr>
      <w:rPr>
        <w:rFonts w:ascii="Times New Roman" w:hAnsi="Times New Roman" w:hint="default"/>
        <w:b w:val="0"/>
        <w:i w:val="0"/>
        <w:sz w:val="24"/>
        <w:u w:val="none"/>
      </w:rPr>
    </w:lvl>
    <w:lvl w:ilvl="1">
      <w:start w:val="1"/>
      <w:numFmt w:val="lowerRoman"/>
      <w:lvlText w:val="%2."/>
      <w:lvlJc w:val="right"/>
      <w:pPr>
        <w:tabs>
          <w:tab w:val="num" w:pos="2340"/>
        </w:tabs>
        <w:ind w:left="2340" w:hanging="720"/>
      </w:pPr>
      <w:rPr>
        <w:rFonts w:hint="default"/>
        <w:sz w:val="24"/>
        <w:szCs w:val="24"/>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2" w15:restartNumberingAfterBreak="0">
    <w:nsid w:val="6F294EEE"/>
    <w:multiLevelType w:val="hybridMultilevel"/>
    <w:tmpl w:val="E200D8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D50B6"/>
    <w:multiLevelType w:val="multilevel"/>
    <w:tmpl w:val="37725FA2"/>
    <w:lvl w:ilvl="0">
      <w:start w:val="1"/>
      <w:numFmt w:val="decimal"/>
      <w:lvlText w:val="%1."/>
      <w:lvlJc w:val="left"/>
      <w:pPr>
        <w:tabs>
          <w:tab w:val="num" w:pos="810"/>
        </w:tabs>
        <w:ind w:left="81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0F93E20"/>
    <w:multiLevelType w:val="hybridMultilevel"/>
    <w:tmpl w:val="2C16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B2255"/>
    <w:multiLevelType w:val="multilevel"/>
    <w:tmpl w:val="B50885C4"/>
    <w:lvl w:ilvl="0">
      <w:start w:val="1"/>
      <w:numFmt w:val="upperRoman"/>
      <w:lvlText w:val="%1. "/>
      <w:lvlJc w:val="left"/>
      <w:pPr>
        <w:tabs>
          <w:tab w:val="num" w:pos="1440"/>
        </w:tabs>
        <w:ind w:left="1440" w:hanging="720"/>
      </w:pPr>
      <w:rPr>
        <w:rFonts w:ascii="Times New Roman" w:hAnsi="Times New Roman" w:hint="default"/>
        <w:b w:val="0"/>
        <w:i w:val="0"/>
        <w:sz w:val="24"/>
        <w:u w:val="none"/>
      </w:rPr>
    </w:lvl>
    <w:lvl w:ilvl="1">
      <w:start w:val="1"/>
      <w:numFmt w:val="decimal"/>
      <w:lvlText w:val="%2."/>
      <w:lvlJc w:val="left"/>
      <w:pPr>
        <w:tabs>
          <w:tab w:val="num" w:pos="2160"/>
        </w:tabs>
        <w:ind w:left="2160" w:hanging="720"/>
      </w:pPr>
      <w:rPr>
        <w:rFonts w:hint="default"/>
        <w:b w:val="0"/>
        <w:i w:val="0"/>
      </w:rPr>
    </w:lvl>
    <w:lvl w:ilvl="2">
      <w:start w:val="1"/>
      <w:numFmt w:val="lowerLetter"/>
      <w:lvlText w:val="%3."/>
      <w:lvlJc w:val="left"/>
      <w:pPr>
        <w:tabs>
          <w:tab w:val="num" w:pos="1890"/>
        </w:tabs>
        <w:ind w:left="1890" w:hanging="720"/>
      </w:pPr>
      <w:rPr>
        <w:rFonts w:hint="default"/>
      </w:rPr>
    </w:lvl>
    <w:lvl w:ilvl="3">
      <w:start w:val="1"/>
      <w:numFmt w:val="lowerRoman"/>
      <w:lvlText w:val="%4."/>
      <w:lvlJc w:val="left"/>
      <w:pPr>
        <w:tabs>
          <w:tab w:val="num" w:pos="3600"/>
        </w:tabs>
        <w:ind w:left="3600" w:hanging="720"/>
      </w:pPr>
      <w:rPr>
        <w:rFonts w:hint="default"/>
      </w:rPr>
    </w:lvl>
    <w:lvl w:ilvl="4">
      <w:start w:val="3"/>
      <w:numFmt w:val="decimal"/>
      <w:lvlText w:val="%5)."/>
      <w:lvlJc w:val="left"/>
      <w:pPr>
        <w:tabs>
          <w:tab w:val="num" w:pos="4320"/>
        </w:tabs>
        <w:ind w:left="4320" w:hanging="720"/>
      </w:pPr>
      <w:rPr>
        <w:rFonts w:hint="default"/>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BA06BA3"/>
    <w:multiLevelType w:val="hybridMultilevel"/>
    <w:tmpl w:val="72803A8E"/>
    <w:lvl w:ilvl="0" w:tplc="3F3090A2">
      <w:start w:val="8"/>
      <w:numFmt w:val="decimal"/>
      <w:lvlText w:val="%1."/>
      <w:lvlJc w:val="left"/>
      <w:pPr>
        <w:tabs>
          <w:tab w:val="num" w:pos="1080"/>
        </w:tabs>
        <w:ind w:left="1080" w:hanging="360"/>
      </w:pPr>
      <w:rPr>
        <w:rFonts w:hint="default"/>
        <w:b/>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76780B08">
      <w:start w:val="1"/>
      <w:numFmt w:val="lowerLetter"/>
      <w:lvlText w:val="%5."/>
      <w:lvlJc w:val="left"/>
      <w:pPr>
        <w:tabs>
          <w:tab w:val="num" w:pos="3960"/>
        </w:tabs>
        <w:ind w:left="3960" w:hanging="360"/>
      </w:pPr>
      <w:rPr>
        <w:b w:val="0"/>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start w:val="1"/>
      <w:numFmt w:val="lowerLetter"/>
      <w:lvlText w:val="%8."/>
      <w:lvlJc w:val="left"/>
      <w:pPr>
        <w:tabs>
          <w:tab w:val="num" w:pos="8730"/>
        </w:tabs>
        <w:ind w:left="873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19"/>
  </w:num>
  <w:num w:numId="3">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num>
  <w:num w:numId="6">
    <w:abstractNumId w:val="12"/>
  </w:num>
  <w:num w:numId="7">
    <w:abstractNumId w:val="0"/>
  </w:num>
  <w:num w:numId="8">
    <w:abstractNumId w:val="24"/>
  </w:num>
  <w:num w:numId="9">
    <w:abstractNumId w:val="10"/>
  </w:num>
  <w:num w:numId="10">
    <w:abstractNumId w:val="22"/>
  </w:num>
  <w:num w:numId="11">
    <w:abstractNumId w:val="5"/>
  </w:num>
  <w:num w:numId="12">
    <w:abstractNumId w:val="25"/>
  </w:num>
  <w:num w:numId="13">
    <w:abstractNumId w:val="3"/>
  </w:num>
  <w:num w:numId="14">
    <w:abstractNumId w:val="7"/>
  </w:num>
  <w:num w:numId="15">
    <w:abstractNumId w:val="16"/>
  </w:num>
  <w:num w:numId="16">
    <w:abstractNumId w:val="21"/>
  </w:num>
  <w:num w:numId="17">
    <w:abstractNumId w:val="20"/>
  </w:num>
  <w:num w:numId="18">
    <w:abstractNumId w:val="9"/>
  </w:num>
  <w:num w:numId="19">
    <w:abstractNumId w:val="6"/>
  </w:num>
  <w:num w:numId="20">
    <w:abstractNumId w:val="26"/>
  </w:num>
  <w:num w:numId="21">
    <w:abstractNumId w:val="2"/>
  </w:num>
  <w:num w:numId="22">
    <w:abstractNumId w:val="4"/>
  </w:num>
  <w:num w:numId="23">
    <w:abstractNumId w:val="15"/>
  </w:num>
  <w:num w:numId="24">
    <w:abstractNumId w:val="11"/>
  </w:num>
  <w:num w:numId="25">
    <w:abstractNumId w:val="8"/>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AB"/>
    <w:rsid w:val="00030FA9"/>
    <w:rsid w:val="00031B63"/>
    <w:rsid w:val="00073E21"/>
    <w:rsid w:val="000803B1"/>
    <w:rsid w:val="00086D73"/>
    <w:rsid w:val="00093483"/>
    <w:rsid w:val="000A1ECB"/>
    <w:rsid w:val="000A2465"/>
    <w:rsid w:val="000B2BAB"/>
    <w:rsid w:val="000B6AC9"/>
    <w:rsid w:val="000E70D5"/>
    <w:rsid w:val="00104B53"/>
    <w:rsid w:val="00105AFB"/>
    <w:rsid w:val="001149F1"/>
    <w:rsid w:val="001154FB"/>
    <w:rsid w:val="00124D46"/>
    <w:rsid w:val="00126D79"/>
    <w:rsid w:val="00136A95"/>
    <w:rsid w:val="001436F1"/>
    <w:rsid w:val="00144AFE"/>
    <w:rsid w:val="0016731C"/>
    <w:rsid w:val="001712C5"/>
    <w:rsid w:val="00171F67"/>
    <w:rsid w:val="00182D75"/>
    <w:rsid w:val="00185363"/>
    <w:rsid w:val="00195E09"/>
    <w:rsid w:val="001A5FE5"/>
    <w:rsid w:val="001B5781"/>
    <w:rsid w:val="001D11BC"/>
    <w:rsid w:val="001D3398"/>
    <w:rsid w:val="001E3F76"/>
    <w:rsid w:val="00250334"/>
    <w:rsid w:val="0025481D"/>
    <w:rsid w:val="002759B3"/>
    <w:rsid w:val="002D41F4"/>
    <w:rsid w:val="002E34E7"/>
    <w:rsid w:val="002F7154"/>
    <w:rsid w:val="00331088"/>
    <w:rsid w:val="00344B5F"/>
    <w:rsid w:val="00361CEB"/>
    <w:rsid w:val="003B08D9"/>
    <w:rsid w:val="003C43AF"/>
    <w:rsid w:val="003F6C24"/>
    <w:rsid w:val="00401C25"/>
    <w:rsid w:val="00414245"/>
    <w:rsid w:val="00426F92"/>
    <w:rsid w:val="004352A8"/>
    <w:rsid w:val="004510A7"/>
    <w:rsid w:val="00466C87"/>
    <w:rsid w:val="00481B4B"/>
    <w:rsid w:val="0049153E"/>
    <w:rsid w:val="00494502"/>
    <w:rsid w:val="00495FA1"/>
    <w:rsid w:val="004966D0"/>
    <w:rsid w:val="00497608"/>
    <w:rsid w:val="004C18AE"/>
    <w:rsid w:val="004F303C"/>
    <w:rsid w:val="00511844"/>
    <w:rsid w:val="00525400"/>
    <w:rsid w:val="005709E5"/>
    <w:rsid w:val="005720A9"/>
    <w:rsid w:val="00584832"/>
    <w:rsid w:val="005916C6"/>
    <w:rsid w:val="0059312B"/>
    <w:rsid w:val="005B5555"/>
    <w:rsid w:val="005C2680"/>
    <w:rsid w:val="005C7C3A"/>
    <w:rsid w:val="00634387"/>
    <w:rsid w:val="006A1B58"/>
    <w:rsid w:val="006E4171"/>
    <w:rsid w:val="007037FF"/>
    <w:rsid w:val="007116AF"/>
    <w:rsid w:val="00713FEF"/>
    <w:rsid w:val="00722875"/>
    <w:rsid w:val="0074717C"/>
    <w:rsid w:val="00762BFC"/>
    <w:rsid w:val="00781500"/>
    <w:rsid w:val="00796542"/>
    <w:rsid w:val="007B2C4E"/>
    <w:rsid w:val="007B4FB4"/>
    <w:rsid w:val="007B6600"/>
    <w:rsid w:val="007C7B0F"/>
    <w:rsid w:val="007E255B"/>
    <w:rsid w:val="007E6CBF"/>
    <w:rsid w:val="007F7A5B"/>
    <w:rsid w:val="00800641"/>
    <w:rsid w:val="008148A5"/>
    <w:rsid w:val="00854FD1"/>
    <w:rsid w:val="0086694D"/>
    <w:rsid w:val="00872DAF"/>
    <w:rsid w:val="008822CF"/>
    <w:rsid w:val="00887DE5"/>
    <w:rsid w:val="00892A9A"/>
    <w:rsid w:val="008A10D7"/>
    <w:rsid w:val="008A1C9C"/>
    <w:rsid w:val="008A37DC"/>
    <w:rsid w:val="008C2D03"/>
    <w:rsid w:val="00923B9E"/>
    <w:rsid w:val="0093077A"/>
    <w:rsid w:val="00935A6C"/>
    <w:rsid w:val="00944556"/>
    <w:rsid w:val="00961740"/>
    <w:rsid w:val="00966B68"/>
    <w:rsid w:val="0097015F"/>
    <w:rsid w:val="009747EB"/>
    <w:rsid w:val="00996230"/>
    <w:rsid w:val="009D3BB9"/>
    <w:rsid w:val="009F12F8"/>
    <w:rsid w:val="00A10830"/>
    <w:rsid w:val="00A14C27"/>
    <w:rsid w:val="00A5353D"/>
    <w:rsid w:val="00A64C25"/>
    <w:rsid w:val="00A6558D"/>
    <w:rsid w:val="00A65B3A"/>
    <w:rsid w:val="00A71656"/>
    <w:rsid w:val="00A75464"/>
    <w:rsid w:val="00A842EF"/>
    <w:rsid w:val="00A85312"/>
    <w:rsid w:val="00A8583A"/>
    <w:rsid w:val="00A903FF"/>
    <w:rsid w:val="00AB04D0"/>
    <w:rsid w:val="00B2573D"/>
    <w:rsid w:val="00B337EA"/>
    <w:rsid w:val="00B66931"/>
    <w:rsid w:val="00BC3C0F"/>
    <w:rsid w:val="00BD1F86"/>
    <w:rsid w:val="00BD4EA3"/>
    <w:rsid w:val="00BF5FBB"/>
    <w:rsid w:val="00C244A4"/>
    <w:rsid w:val="00C851E4"/>
    <w:rsid w:val="00CA6B10"/>
    <w:rsid w:val="00CB5743"/>
    <w:rsid w:val="00CD3B07"/>
    <w:rsid w:val="00CD7001"/>
    <w:rsid w:val="00CE15A4"/>
    <w:rsid w:val="00CF4CDB"/>
    <w:rsid w:val="00D30728"/>
    <w:rsid w:val="00D46532"/>
    <w:rsid w:val="00D66728"/>
    <w:rsid w:val="00D729E1"/>
    <w:rsid w:val="00D73530"/>
    <w:rsid w:val="00D7787D"/>
    <w:rsid w:val="00D80DF1"/>
    <w:rsid w:val="00DE1E46"/>
    <w:rsid w:val="00E55CDC"/>
    <w:rsid w:val="00E72791"/>
    <w:rsid w:val="00E90BEC"/>
    <w:rsid w:val="00ED14C9"/>
    <w:rsid w:val="00EE61EC"/>
    <w:rsid w:val="00F05EF3"/>
    <w:rsid w:val="00F06A7F"/>
    <w:rsid w:val="00F1026F"/>
    <w:rsid w:val="00F47F21"/>
    <w:rsid w:val="00F54AE1"/>
    <w:rsid w:val="00F66131"/>
    <w:rsid w:val="00FA59DF"/>
    <w:rsid w:val="00FB20FE"/>
    <w:rsid w:val="00FB2C44"/>
    <w:rsid w:val="00FD04CC"/>
    <w:rsid w:val="5F494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F182C6"/>
  <w15:docId w15:val="{0EBD2DB2-0A4E-43FB-A1C5-2BAA912F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C4E"/>
  </w:style>
  <w:style w:type="paragraph" w:styleId="Heading1">
    <w:name w:val="heading 1"/>
    <w:basedOn w:val="Normal"/>
    <w:link w:val="Heading1Char"/>
    <w:uiPriority w:val="9"/>
    <w:qFormat/>
    <w:rsid w:val="00144A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2BAB"/>
    <w:pPr>
      <w:tabs>
        <w:tab w:val="center" w:pos="4680"/>
        <w:tab w:val="right" w:pos="9360"/>
      </w:tabs>
      <w:spacing w:after="0" w:line="240" w:lineRule="auto"/>
    </w:pPr>
  </w:style>
  <w:style w:type="character" w:customStyle="1" w:styleId="HeaderChar">
    <w:name w:val="Header Char"/>
    <w:basedOn w:val="DefaultParagraphFont"/>
    <w:link w:val="Header"/>
    <w:rsid w:val="000B2BAB"/>
  </w:style>
  <w:style w:type="paragraph" w:styleId="Footer">
    <w:name w:val="footer"/>
    <w:basedOn w:val="Normal"/>
    <w:link w:val="FooterChar"/>
    <w:uiPriority w:val="99"/>
    <w:unhideWhenUsed/>
    <w:qFormat/>
    <w:rsid w:val="000B2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BAB"/>
  </w:style>
  <w:style w:type="character" w:styleId="Strong">
    <w:name w:val="Strong"/>
    <w:basedOn w:val="DefaultParagraphFont"/>
    <w:uiPriority w:val="22"/>
    <w:qFormat/>
    <w:rsid w:val="000B2BAB"/>
    <w:rPr>
      <w:b/>
      <w:bCs/>
    </w:rPr>
  </w:style>
  <w:style w:type="table" w:styleId="TableGrid">
    <w:name w:val="Table Grid"/>
    <w:basedOn w:val="TableNormal"/>
    <w:uiPriority w:val="59"/>
    <w:rsid w:val="000B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5848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55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CDC"/>
    <w:rPr>
      <w:rFonts w:ascii="Segoe UI" w:hAnsi="Segoe UI" w:cs="Segoe UI"/>
      <w:sz w:val="18"/>
      <w:szCs w:val="18"/>
    </w:rPr>
  </w:style>
  <w:style w:type="paragraph" w:styleId="ListParagraph">
    <w:name w:val="List Paragraph"/>
    <w:basedOn w:val="Normal"/>
    <w:uiPriority w:val="34"/>
    <w:qFormat/>
    <w:rsid w:val="000B6AC9"/>
    <w:pPr>
      <w:spacing w:after="0" w:line="240" w:lineRule="auto"/>
      <w:ind w:left="720"/>
      <w:contextualSpacing/>
    </w:pPr>
  </w:style>
  <w:style w:type="character" w:styleId="Hyperlink">
    <w:name w:val="Hyperlink"/>
    <w:basedOn w:val="DefaultParagraphFont"/>
    <w:uiPriority w:val="99"/>
    <w:unhideWhenUsed/>
    <w:rsid w:val="000B6AC9"/>
    <w:rPr>
      <w:color w:val="0563C1" w:themeColor="hyperlink"/>
      <w:u w:val="single"/>
    </w:rPr>
  </w:style>
  <w:style w:type="paragraph" w:styleId="NormalWeb">
    <w:name w:val="Normal (Web)"/>
    <w:basedOn w:val="Normal"/>
    <w:uiPriority w:val="99"/>
    <w:unhideWhenUsed/>
    <w:rsid w:val="000B6AC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87DE5"/>
    <w:rPr>
      <w:color w:val="954F72" w:themeColor="followedHyperlink"/>
      <w:u w:val="single"/>
    </w:rPr>
  </w:style>
  <w:style w:type="character" w:customStyle="1" w:styleId="Heading1Char">
    <w:name w:val="Heading 1 Char"/>
    <w:basedOn w:val="DefaultParagraphFont"/>
    <w:link w:val="Heading1"/>
    <w:uiPriority w:val="9"/>
    <w:rsid w:val="00144AFE"/>
    <w:rPr>
      <w:rFonts w:ascii="Times New Roman" w:eastAsia="Times New Roman" w:hAnsi="Times New Roman" w:cs="Times New Roman"/>
      <w:b/>
      <w:bCs/>
      <w:kern w:val="36"/>
      <w:sz w:val="48"/>
      <w:szCs w:val="48"/>
    </w:rPr>
  </w:style>
  <w:style w:type="character" w:styleId="PlaceholderText">
    <w:name w:val="Placeholder Text"/>
    <w:basedOn w:val="DefaultParagraphFont"/>
    <w:uiPriority w:val="99"/>
    <w:semiHidden/>
    <w:rsid w:val="00494502"/>
    <w:rPr>
      <w:color w:val="808080"/>
    </w:rPr>
  </w:style>
  <w:style w:type="paragraph" w:styleId="BodyTextIndent2">
    <w:name w:val="Body Text Indent 2"/>
    <w:basedOn w:val="Normal"/>
    <w:link w:val="BodyTextIndent2Char"/>
    <w:rsid w:val="00126D79"/>
    <w:pPr>
      <w:spacing w:after="0" w:line="240" w:lineRule="auto"/>
      <w:ind w:left="144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126D79"/>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126D79"/>
  </w:style>
  <w:style w:type="character" w:styleId="CommentReference">
    <w:name w:val="annotation reference"/>
    <w:basedOn w:val="DefaultParagraphFont"/>
    <w:uiPriority w:val="99"/>
    <w:semiHidden/>
    <w:unhideWhenUsed/>
    <w:rsid w:val="00126D79"/>
    <w:rPr>
      <w:sz w:val="16"/>
      <w:szCs w:val="16"/>
    </w:rPr>
  </w:style>
  <w:style w:type="paragraph" w:styleId="CommentText">
    <w:name w:val="annotation text"/>
    <w:basedOn w:val="Normal"/>
    <w:link w:val="CommentTextChar"/>
    <w:uiPriority w:val="99"/>
    <w:semiHidden/>
    <w:unhideWhenUsed/>
    <w:rsid w:val="00126D79"/>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uiPriority w:val="99"/>
    <w:semiHidden/>
    <w:rsid w:val="00126D79"/>
    <w:rPr>
      <w:rFonts w:ascii="Times" w:eastAsia="Times" w:hAnsi="Times" w:cs="Times New Roman"/>
      <w:sz w:val="20"/>
      <w:szCs w:val="20"/>
    </w:rPr>
  </w:style>
  <w:style w:type="paragraph" w:customStyle="1" w:styleId="ColorfulList-Accent11">
    <w:name w:val="Colorful List - Accent 11"/>
    <w:basedOn w:val="Normal"/>
    <w:uiPriority w:val="34"/>
    <w:qFormat/>
    <w:rsid w:val="001149F1"/>
    <w:pPr>
      <w:spacing w:after="0" w:line="240" w:lineRule="auto"/>
      <w:ind w:left="720"/>
      <w:contextualSpacing/>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90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F0DE7-7BB1-4D79-AD26-03060F88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618</Words>
  <Characters>3523</Characters>
  <Application>Microsoft Office Word</Application>
  <DocSecurity>0</DocSecurity>
  <Lines>29</Lines>
  <Paragraphs>8</Paragraphs>
  <ScaleCrop>false</ScaleCrop>
  <Company>University of Tennessee</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 PROCEDURE {CAPS/BOLD Font=Century Gothic 14}</dc:title>
  <dc:subject>Number – Title {Bold, Font=Century Gothic 14}</dc:subject>
  <dc:creator>Burlison, Melanie Lynn</dc:creator>
  <cp:keywords/>
  <dc:description/>
  <cp:lastModifiedBy>Prachniak, Kim</cp:lastModifiedBy>
  <cp:revision>9</cp:revision>
  <cp:lastPrinted>2016-03-17T21:02:00Z</cp:lastPrinted>
  <dcterms:created xsi:type="dcterms:W3CDTF">2021-05-05T14:25:00Z</dcterms:created>
  <dcterms:modified xsi:type="dcterms:W3CDTF">2021-05-05T15:35:00Z</dcterms:modified>
</cp:coreProperties>
</file>