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352A8" w:rsidRDefault="004352A8"/>
    <w:tbl>
      <w:tblPr>
        <w:tblStyle w:val="GridTable1Light1"/>
        <w:tblW w:w="9920" w:type="dxa"/>
        <w:jc w:val="center"/>
        <w:shd w:val="clear" w:color="auto" w:fill="F7CAAC" w:themeFill="accent2" w:themeFillTint="66"/>
        <w:tblCellMar>
          <w:left w:w="115" w:type="dxa"/>
          <w:right w:w="115" w:type="dxa"/>
        </w:tblCellMar>
        <w:tblLook w:val="00A0" w:firstRow="1" w:lastRow="0" w:firstColumn="1" w:lastColumn="0" w:noHBand="0" w:noVBand="0"/>
      </w:tblPr>
      <w:tblGrid>
        <w:gridCol w:w="4645"/>
        <w:gridCol w:w="2593"/>
        <w:gridCol w:w="2682"/>
      </w:tblGrid>
      <w:tr w:rsidR="00C851E4" w:rsidRPr="000B2BAB" w14:paraId="6BA416DA" w14:textId="77777777" w:rsidTr="00F06A7F">
        <w:trPr>
          <w:cnfStyle w:val="100000000000" w:firstRow="1" w:lastRow="0" w:firstColumn="0" w:lastColumn="0" w:oddVBand="0" w:evenVBand="0" w:oddHBand="0" w:evenHBand="0" w:firstRowFirstColumn="0" w:firstRowLastColumn="0" w:lastRowFirstColumn="0" w:lastRowLastColumn="0"/>
          <w:trHeight w:val="431"/>
          <w:tblHeader/>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17449707" w14:textId="462A3079" w:rsidR="00C851E4" w:rsidRPr="000B2BAB" w:rsidRDefault="00C851E4" w:rsidP="00EE61EC">
            <w:pPr>
              <w:rPr>
                <w:color w:val="222A35" w:themeColor="text2" w:themeShade="80"/>
                <w:sz w:val="20"/>
                <w:szCs w:val="20"/>
              </w:rPr>
            </w:pPr>
            <w:r w:rsidRPr="000B2BAB">
              <w:rPr>
                <w:color w:val="222A35" w:themeColor="text2" w:themeShade="80"/>
                <w:sz w:val="20"/>
                <w:szCs w:val="20"/>
              </w:rPr>
              <w:t>No./Title:</w:t>
            </w:r>
            <w:r w:rsidR="004510A7">
              <w:rPr>
                <w:color w:val="222A35" w:themeColor="text2" w:themeShade="80"/>
                <w:sz w:val="20"/>
                <w:szCs w:val="20"/>
              </w:rPr>
              <w:t xml:space="preserve">  </w:t>
            </w:r>
            <w:bookmarkStart w:id="0" w:name="_Hlk71100359"/>
            <w:r w:rsidR="00BE526E" w:rsidRPr="00BE526E">
              <w:rPr>
                <w:color w:val="222A35" w:themeColor="text2" w:themeShade="80"/>
                <w:sz w:val="20"/>
                <w:szCs w:val="20"/>
              </w:rPr>
              <w:t>Auditing of Research Studies</w:t>
            </w:r>
            <w:bookmarkEnd w:id="0"/>
          </w:p>
        </w:tc>
        <w:tc>
          <w:tcPr>
            <w:tcW w:w="2593" w:type="dxa"/>
            <w:shd w:val="clear" w:color="auto" w:fill="F7CAAC" w:themeFill="accent2" w:themeFillTint="66"/>
            <w:vAlign w:val="center"/>
          </w:tcPr>
          <w:p w14:paraId="0231701A" w14:textId="77777777" w:rsidR="00C851E4" w:rsidRPr="000B2BAB" w:rsidRDefault="00D80DF1" w:rsidP="00EE61EC">
            <w:pPr>
              <w:tabs>
                <w:tab w:val="left" w:pos="450"/>
              </w:tabs>
              <w:cnfStyle w:val="100000000000" w:firstRow="1" w:lastRow="0" w:firstColumn="0" w:lastColumn="0" w:oddVBand="0" w:evenVBand="0" w:oddHBand="0" w:evenHBand="0" w:firstRowFirstColumn="0" w:firstRowLastColumn="0" w:lastRowFirstColumn="0" w:lastRowLastColumn="0"/>
              <w:rPr>
                <w:color w:val="222A35" w:themeColor="text2" w:themeShade="80"/>
                <w:sz w:val="20"/>
                <w:szCs w:val="20"/>
              </w:rPr>
            </w:pPr>
            <w:r>
              <w:rPr>
                <w:color w:val="222A35" w:themeColor="text2" w:themeShade="80"/>
                <w:sz w:val="20"/>
                <w:szCs w:val="20"/>
              </w:rPr>
              <w:t>Resp.</w:t>
            </w:r>
            <w:r w:rsidR="009F12F8">
              <w:rPr>
                <w:color w:val="222A35" w:themeColor="text2" w:themeShade="80"/>
                <w:sz w:val="20"/>
                <w:szCs w:val="20"/>
              </w:rPr>
              <w:t xml:space="preserve"> Office:  </w:t>
            </w:r>
            <w:r w:rsidR="00A65B3A">
              <w:rPr>
                <w:color w:val="222A35" w:themeColor="text2" w:themeShade="80"/>
                <w:sz w:val="20"/>
                <w:szCs w:val="20"/>
              </w:rPr>
              <w:t>Institutional Review Board</w:t>
            </w:r>
          </w:p>
        </w:tc>
        <w:tc>
          <w:tcPr>
            <w:tcW w:w="2682" w:type="dxa"/>
            <w:shd w:val="clear" w:color="auto" w:fill="F7CAAC" w:themeFill="accent2" w:themeFillTint="66"/>
            <w:vAlign w:val="center"/>
          </w:tcPr>
          <w:p w14:paraId="4EEDD180" w14:textId="1D84F852" w:rsidR="00C851E4" w:rsidRPr="00A65B3A" w:rsidRDefault="00C851E4" w:rsidP="00EE61EC">
            <w:pPr>
              <w:tabs>
                <w:tab w:val="left" w:pos="450"/>
              </w:tabs>
              <w:cnfStyle w:val="100000000000" w:firstRow="1" w:lastRow="0" w:firstColumn="0" w:lastColumn="0" w:oddVBand="0" w:evenVBand="0" w:oddHBand="0" w:evenHBand="0" w:firstRowFirstColumn="0" w:firstRowLastColumn="0" w:lastRowFirstColumn="0" w:lastRowLastColumn="0"/>
              <w:rPr>
                <w:color w:val="222A35" w:themeColor="text2" w:themeShade="80"/>
                <w:sz w:val="20"/>
                <w:szCs w:val="20"/>
              </w:rPr>
            </w:pPr>
            <w:r w:rsidRPr="000B2BAB">
              <w:rPr>
                <w:color w:val="222A35" w:themeColor="text2" w:themeShade="80"/>
                <w:sz w:val="20"/>
                <w:szCs w:val="20"/>
              </w:rPr>
              <w:t>Effective Date:</w:t>
            </w:r>
            <w:r w:rsidRPr="000B2BAB">
              <w:rPr>
                <w:color w:val="222A35" w:themeColor="text2" w:themeShade="80"/>
              </w:rPr>
              <w:t xml:space="preserve">  </w:t>
            </w:r>
            <w:r w:rsidR="00BE526E">
              <w:rPr>
                <w:color w:val="222A35" w:themeColor="text2" w:themeShade="80"/>
              </w:rPr>
              <w:t>0</w:t>
            </w:r>
            <w:r w:rsidR="00A65B3A">
              <w:rPr>
                <w:color w:val="222A35" w:themeColor="text2" w:themeShade="80"/>
                <w:sz w:val="20"/>
                <w:szCs w:val="20"/>
              </w:rPr>
              <w:t>1/1</w:t>
            </w:r>
            <w:r w:rsidR="00BE526E">
              <w:rPr>
                <w:color w:val="222A35" w:themeColor="text2" w:themeShade="80"/>
                <w:sz w:val="20"/>
                <w:szCs w:val="20"/>
              </w:rPr>
              <w:t>2</w:t>
            </w:r>
            <w:r w:rsidR="00A65B3A">
              <w:rPr>
                <w:color w:val="222A35" w:themeColor="text2" w:themeShade="80"/>
                <w:sz w:val="20"/>
                <w:szCs w:val="20"/>
              </w:rPr>
              <w:t>/200</w:t>
            </w:r>
            <w:r w:rsidR="00BE526E">
              <w:rPr>
                <w:color w:val="222A35" w:themeColor="text2" w:themeShade="80"/>
                <w:sz w:val="20"/>
                <w:szCs w:val="20"/>
              </w:rPr>
              <w:t>7</w:t>
            </w:r>
          </w:p>
        </w:tc>
      </w:tr>
      <w:tr w:rsidR="00C851E4" w:rsidRPr="000B2BAB" w14:paraId="5E8C398A" w14:textId="77777777" w:rsidTr="00F06A7F">
        <w:trPr>
          <w:trHeight w:val="346"/>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098AE5E8" w14:textId="77777777" w:rsidR="00C851E4" w:rsidRPr="000B2BAB" w:rsidRDefault="00D80DF1" w:rsidP="009747EB">
            <w:pPr>
              <w:rPr>
                <w:b w:val="0"/>
                <w:color w:val="222A35" w:themeColor="text2" w:themeShade="80"/>
                <w:sz w:val="20"/>
                <w:szCs w:val="20"/>
              </w:rPr>
            </w:pPr>
            <w:r w:rsidRPr="000B2BAB">
              <w:rPr>
                <w:color w:val="222A35" w:themeColor="text2" w:themeShade="80"/>
                <w:sz w:val="20"/>
                <w:szCs w:val="20"/>
              </w:rPr>
              <w:t>Category:</w:t>
            </w:r>
            <w:r w:rsidRPr="002D41F4">
              <w:rPr>
                <w:b w:val="0"/>
                <w:color w:val="222A35" w:themeColor="text2" w:themeShade="80"/>
                <w:sz w:val="20"/>
                <w:szCs w:val="20"/>
              </w:rPr>
              <w:t xml:space="preserve">  </w:t>
            </w:r>
            <w:r>
              <w:rPr>
                <w:b w:val="0"/>
                <w:color w:val="222A35" w:themeColor="text2" w:themeShade="80"/>
                <w:sz w:val="20"/>
                <w:szCs w:val="20"/>
              </w:rPr>
              <w:t xml:space="preserve"> </w:t>
            </w:r>
            <w:r w:rsidR="00A65B3A">
              <w:rPr>
                <w:b w:val="0"/>
                <w:color w:val="222A35" w:themeColor="text2" w:themeShade="80"/>
                <w:sz w:val="20"/>
                <w:szCs w:val="20"/>
              </w:rPr>
              <w:t>Institutional Review Board (IRB)</w:t>
            </w:r>
          </w:p>
        </w:tc>
        <w:tc>
          <w:tcPr>
            <w:tcW w:w="2593" w:type="dxa"/>
            <w:shd w:val="clear" w:color="auto" w:fill="F7CAAC" w:themeFill="accent2" w:themeFillTint="66"/>
            <w:vAlign w:val="center"/>
          </w:tcPr>
          <w:p w14:paraId="6503BD4C" w14:textId="730D8BA2" w:rsidR="00C851E4" w:rsidRPr="000B2BAB"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0B2BAB">
              <w:rPr>
                <w:b/>
                <w:color w:val="222A35" w:themeColor="text2" w:themeShade="80"/>
                <w:sz w:val="20"/>
                <w:szCs w:val="20"/>
              </w:rPr>
              <w:t>Last Review:</w:t>
            </w:r>
            <w:r>
              <w:rPr>
                <w:b/>
                <w:color w:val="222A35" w:themeColor="text2" w:themeShade="80"/>
                <w:sz w:val="20"/>
                <w:szCs w:val="20"/>
              </w:rPr>
              <w:t xml:space="preserve">  </w:t>
            </w:r>
            <w:r w:rsidR="00A65B3A">
              <w:rPr>
                <w:color w:val="222A35" w:themeColor="text2" w:themeShade="80"/>
                <w:sz w:val="20"/>
                <w:szCs w:val="20"/>
              </w:rPr>
              <w:t>0</w:t>
            </w:r>
            <w:r w:rsidR="00BE526E">
              <w:rPr>
                <w:color w:val="222A35" w:themeColor="text2" w:themeShade="80"/>
                <w:sz w:val="20"/>
                <w:szCs w:val="20"/>
              </w:rPr>
              <w:t>4</w:t>
            </w:r>
            <w:r w:rsidR="00A65B3A">
              <w:rPr>
                <w:color w:val="222A35" w:themeColor="text2" w:themeShade="80"/>
                <w:sz w:val="20"/>
                <w:szCs w:val="20"/>
              </w:rPr>
              <w:t>/</w:t>
            </w:r>
            <w:r w:rsidR="00BE526E">
              <w:rPr>
                <w:color w:val="222A35" w:themeColor="text2" w:themeShade="80"/>
                <w:sz w:val="20"/>
                <w:szCs w:val="20"/>
              </w:rPr>
              <w:t>1</w:t>
            </w:r>
            <w:r w:rsidR="00B337EA">
              <w:rPr>
                <w:color w:val="222A35" w:themeColor="text2" w:themeShade="80"/>
                <w:sz w:val="20"/>
                <w:szCs w:val="20"/>
              </w:rPr>
              <w:t>3</w:t>
            </w:r>
            <w:r w:rsidR="00A65B3A">
              <w:rPr>
                <w:color w:val="222A35" w:themeColor="text2" w:themeShade="80"/>
                <w:sz w:val="20"/>
                <w:szCs w:val="20"/>
              </w:rPr>
              <w:t>/202</w:t>
            </w:r>
            <w:r w:rsidR="00BE526E">
              <w:rPr>
                <w:color w:val="222A35" w:themeColor="text2" w:themeShade="80"/>
                <w:sz w:val="20"/>
                <w:szCs w:val="20"/>
              </w:rPr>
              <w:t>1</w:t>
            </w:r>
          </w:p>
        </w:tc>
        <w:tc>
          <w:tcPr>
            <w:tcW w:w="2682" w:type="dxa"/>
            <w:shd w:val="clear" w:color="auto" w:fill="F7CAAC" w:themeFill="accent2" w:themeFillTint="66"/>
            <w:vAlign w:val="center"/>
          </w:tcPr>
          <w:p w14:paraId="4F6C731E" w14:textId="1D74487A" w:rsidR="00C851E4" w:rsidRPr="000B2BAB"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color w:val="222A35" w:themeColor="text2" w:themeShade="80"/>
                <w:sz w:val="20"/>
                <w:szCs w:val="20"/>
              </w:rPr>
            </w:pPr>
            <w:r w:rsidRPr="000B2BAB">
              <w:rPr>
                <w:b/>
                <w:color w:val="222A35" w:themeColor="text2" w:themeShade="80"/>
                <w:sz w:val="20"/>
                <w:szCs w:val="20"/>
              </w:rPr>
              <w:t>Next Review:</w:t>
            </w:r>
            <w:r w:rsidRPr="002D41F4">
              <w:rPr>
                <w:b/>
                <w:color w:val="222A35" w:themeColor="text2" w:themeShade="80"/>
                <w:sz w:val="20"/>
                <w:szCs w:val="20"/>
              </w:rPr>
              <w:t xml:space="preserve"> </w:t>
            </w:r>
            <w:r w:rsidR="00A65B3A">
              <w:rPr>
                <w:b/>
                <w:color w:val="222A35" w:themeColor="text2" w:themeShade="80"/>
                <w:sz w:val="20"/>
                <w:szCs w:val="20"/>
              </w:rPr>
              <w:t xml:space="preserve"> </w:t>
            </w:r>
            <w:r w:rsidR="00A65B3A">
              <w:rPr>
                <w:color w:val="222A35" w:themeColor="text2" w:themeShade="80"/>
                <w:sz w:val="20"/>
                <w:szCs w:val="20"/>
              </w:rPr>
              <w:t>0</w:t>
            </w:r>
            <w:r w:rsidR="00BE526E">
              <w:rPr>
                <w:color w:val="222A35" w:themeColor="text2" w:themeShade="80"/>
                <w:sz w:val="20"/>
                <w:szCs w:val="20"/>
              </w:rPr>
              <w:t>4</w:t>
            </w:r>
            <w:r w:rsidR="00A65B3A">
              <w:rPr>
                <w:color w:val="222A35" w:themeColor="text2" w:themeShade="80"/>
                <w:sz w:val="20"/>
                <w:szCs w:val="20"/>
              </w:rPr>
              <w:t>/</w:t>
            </w:r>
            <w:r w:rsidR="00BE526E">
              <w:rPr>
                <w:color w:val="222A35" w:themeColor="text2" w:themeShade="80"/>
                <w:sz w:val="20"/>
                <w:szCs w:val="20"/>
              </w:rPr>
              <w:t>1</w:t>
            </w:r>
            <w:r w:rsidR="00B337EA">
              <w:rPr>
                <w:color w:val="222A35" w:themeColor="text2" w:themeShade="80"/>
                <w:sz w:val="20"/>
                <w:szCs w:val="20"/>
              </w:rPr>
              <w:t>3</w:t>
            </w:r>
            <w:r w:rsidR="00A65B3A">
              <w:rPr>
                <w:color w:val="222A35" w:themeColor="text2" w:themeShade="80"/>
                <w:sz w:val="20"/>
                <w:szCs w:val="20"/>
              </w:rPr>
              <w:t>/202</w:t>
            </w:r>
            <w:r w:rsidR="00BE526E">
              <w:rPr>
                <w:color w:val="222A35" w:themeColor="text2" w:themeShade="80"/>
                <w:sz w:val="20"/>
                <w:szCs w:val="20"/>
              </w:rPr>
              <w:t>2</w:t>
            </w:r>
          </w:p>
        </w:tc>
      </w:tr>
      <w:tr w:rsidR="00C851E4" w:rsidRPr="000B2BAB" w14:paraId="4D9BD341" w14:textId="77777777" w:rsidTr="00F06A7F">
        <w:trPr>
          <w:trHeight w:val="346"/>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070C3B05" w14:textId="77777777" w:rsidR="00C851E4" w:rsidRPr="00A75464" w:rsidRDefault="00A75464" w:rsidP="009747EB">
            <w:pPr>
              <w:rPr>
                <w:b w:val="0"/>
                <w:color w:val="222A35" w:themeColor="text2" w:themeShade="80"/>
                <w:sz w:val="20"/>
                <w:szCs w:val="20"/>
              </w:rPr>
            </w:pPr>
            <w:r>
              <w:rPr>
                <w:color w:val="222A35" w:themeColor="text2" w:themeShade="80"/>
                <w:sz w:val="20"/>
                <w:szCs w:val="20"/>
              </w:rPr>
              <w:t>Contact:</w:t>
            </w:r>
            <w:r w:rsidR="004510A7">
              <w:rPr>
                <w:color w:val="222A35" w:themeColor="text2" w:themeShade="80"/>
                <w:sz w:val="20"/>
                <w:szCs w:val="20"/>
              </w:rPr>
              <w:t xml:space="preserve">    </w:t>
            </w:r>
            <w:r w:rsidR="00D80DF1" w:rsidRPr="00935A6C">
              <w:rPr>
                <w:b w:val="0"/>
                <w:color w:val="222A35" w:themeColor="text2" w:themeShade="80"/>
                <w:sz w:val="20"/>
                <w:szCs w:val="20"/>
              </w:rPr>
              <w:t xml:space="preserve"> </w:t>
            </w:r>
            <w:r w:rsidR="00A65B3A">
              <w:rPr>
                <w:b w:val="0"/>
                <w:color w:val="222A35" w:themeColor="text2" w:themeShade="80"/>
                <w:sz w:val="20"/>
                <w:szCs w:val="20"/>
              </w:rPr>
              <w:t>Institutional Review Board (IRB)</w:t>
            </w:r>
          </w:p>
        </w:tc>
        <w:tc>
          <w:tcPr>
            <w:tcW w:w="2593" w:type="dxa"/>
            <w:shd w:val="clear" w:color="auto" w:fill="F7CAAC" w:themeFill="accent2" w:themeFillTint="66"/>
            <w:vAlign w:val="center"/>
          </w:tcPr>
          <w:p w14:paraId="2883445A" w14:textId="77777777" w:rsidR="00C851E4" w:rsidRPr="00A65B3A" w:rsidRDefault="004510A7"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D80DF1">
              <w:rPr>
                <w:rFonts w:ascii="Wingdings" w:hAnsi="Wingdings"/>
              </w:rPr>
              <w:t></w:t>
            </w:r>
            <w:r w:rsidR="00A65B3A">
              <w:rPr>
                <w:rFonts w:ascii="Wingdings" w:hAnsi="Wingdings"/>
              </w:rPr>
              <w:t></w:t>
            </w:r>
            <w:r w:rsidR="00A65B3A">
              <w:rPr>
                <w:sz w:val="20"/>
                <w:szCs w:val="20"/>
              </w:rPr>
              <w:t>901.448.4824</w:t>
            </w:r>
          </w:p>
        </w:tc>
        <w:tc>
          <w:tcPr>
            <w:tcW w:w="2682" w:type="dxa"/>
            <w:shd w:val="clear" w:color="auto" w:fill="F7CAAC" w:themeFill="accent2" w:themeFillTint="66"/>
            <w:vAlign w:val="center"/>
          </w:tcPr>
          <w:p w14:paraId="2B532697" w14:textId="77777777" w:rsidR="00C851E4" w:rsidRPr="00D80DF1"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D80DF1">
              <w:rPr>
                <w:rFonts w:ascii="Wingdings" w:hAnsi="Wingdings"/>
              </w:rPr>
              <w:t></w:t>
            </w:r>
            <w:r>
              <w:rPr>
                <w:sz w:val="20"/>
                <w:szCs w:val="20"/>
              </w:rPr>
              <w:t xml:space="preserve"> </w:t>
            </w:r>
            <w:r w:rsidR="00A65B3A">
              <w:rPr>
                <w:sz w:val="20"/>
                <w:szCs w:val="20"/>
              </w:rPr>
              <w:t>irb@uthsc.edu</w:t>
            </w:r>
          </w:p>
        </w:tc>
      </w:tr>
    </w:tbl>
    <w:p w14:paraId="0A37501D" w14:textId="77777777" w:rsidR="00EE61EC" w:rsidRDefault="00EE61EC" w:rsidP="00944556">
      <w:pPr>
        <w:tabs>
          <w:tab w:val="left" w:pos="450"/>
        </w:tabs>
        <w:spacing w:after="0" w:line="240" w:lineRule="auto"/>
        <w:jc w:val="both"/>
        <w:rPr>
          <w:b/>
          <w:sz w:val="28"/>
          <w:szCs w:val="28"/>
        </w:rPr>
      </w:pPr>
    </w:p>
    <w:p w14:paraId="6B936807" w14:textId="77777777" w:rsidR="00CB5743" w:rsidRDefault="008822CF" w:rsidP="00126D79">
      <w:pPr>
        <w:spacing w:after="0" w:line="240" w:lineRule="auto"/>
        <w:ind w:left="720" w:hanging="720"/>
        <w:jc w:val="both"/>
      </w:pPr>
      <w:r>
        <w:rPr>
          <w:b/>
          <w:color w:val="1F4E79" w:themeColor="accent1" w:themeShade="80"/>
          <w:sz w:val="28"/>
          <w:szCs w:val="28"/>
        </w:rPr>
        <w:t>I.</w:t>
      </w:r>
      <w:r>
        <w:rPr>
          <w:b/>
          <w:color w:val="1F4E79" w:themeColor="accent1" w:themeShade="80"/>
          <w:sz w:val="28"/>
          <w:szCs w:val="28"/>
        </w:rPr>
        <w:tab/>
      </w:r>
      <w:r w:rsidR="009747EB" w:rsidRPr="00CB5743">
        <w:rPr>
          <w:b/>
          <w:color w:val="1F4E79" w:themeColor="accent1" w:themeShade="80"/>
          <w:sz w:val="28"/>
          <w:szCs w:val="28"/>
        </w:rPr>
        <w:t>P</w:t>
      </w:r>
      <w:r>
        <w:rPr>
          <w:b/>
          <w:color w:val="1F4E79" w:themeColor="accent1" w:themeShade="80"/>
          <w:sz w:val="28"/>
          <w:szCs w:val="28"/>
        </w:rPr>
        <w:t>U</w:t>
      </w:r>
      <w:r w:rsidR="009747EB" w:rsidRPr="00CB5743">
        <w:rPr>
          <w:b/>
          <w:color w:val="1F4E79" w:themeColor="accent1" w:themeShade="80"/>
          <w:sz w:val="28"/>
          <w:szCs w:val="28"/>
        </w:rPr>
        <w:t>R</w:t>
      </w:r>
      <w:r>
        <w:rPr>
          <w:b/>
          <w:color w:val="1F4E79" w:themeColor="accent1" w:themeShade="80"/>
          <w:sz w:val="28"/>
          <w:szCs w:val="28"/>
        </w:rPr>
        <w:t>POSE</w:t>
      </w:r>
    </w:p>
    <w:p w14:paraId="5DAB6C7B" w14:textId="77777777" w:rsidR="008822CF" w:rsidRPr="008822CF" w:rsidRDefault="008822CF" w:rsidP="008822CF">
      <w:pPr>
        <w:tabs>
          <w:tab w:val="left" w:pos="450"/>
        </w:tabs>
        <w:spacing w:after="0" w:line="240" w:lineRule="auto"/>
        <w:jc w:val="both"/>
      </w:pPr>
    </w:p>
    <w:p w14:paraId="64F9A0D3" w14:textId="363457CD" w:rsidR="008822CF" w:rsidRDefault="00BE526E" w:rsidP="00BE526E">
      <w:pPr>
        <w:tabs>
          <w:tab w:val="left" w:pos="450"/>
        </w:tabs>
        <w:spacing w:after="0" w:line="240" w:lineRule="auto"/>
        <w:jc w:val="both"/>
        <w:rPr>
          <w:sz w:val="24"/>
        </w:rPr>
      </w:pPr>
      <w:r w:rsidRPr="00BE526E">
        <w:rPr>
          <w:sz w:val="24"/>
        </w:rPr>
        <w:t>To document the policy and procedures used by the University of Tennessee Health Science Center Institutional Review Board regarding the auditing of IRB-approved studies.</w:t>
      </w:r>
    </w:p>
    <w:p w14:paraId="11192154" w14:textId="77777777" w:rsidR="00790A63" w:rsidRDefault="00790A63" w:rsidP="00BE526E">
      <w:pPr>
        <w:tabs>
          <w:tab w:val="left" w:pos="450"/>
        </w:tabs>
        <w:spacing w:after="0" w:line="240" w:lineRule="auto"/>
        <w:jc w:val="both"/>
        <w:rPr>
          <w:sz w:val="24"/>
        </w:rPr>
      </w:pPr>
    </w:p>
    <w:p w14:paraId="64FB20B7" w14:textId="77777777" w:rsidR="00126D79" w:rsidRPr="0086694D" w:rsidRDefault="00126D79" w:rsidP="00086D73">
      <w:pPr>
        <w:ind w:left="720" w:hanging="720"/>
        <w:jc w:val="both"/>
      </w:pPr>
      <w:r>
        <w:rPr>
          <w:b/>
          <w:color w:val="1F4E79" w:themeColor="accent1" w:themeShade="80"/>
          <w:sz w:val="28"/>
          <w:szCs w:val="28"/>
        </w:rPr>
        <w:t>II.</w:t>
      </w:r>
      <w:r>
        <w:rPr>
          <w:b/>
          <w:color w:val="1F4E79" w:themeColor="accent1" w:themeShade="80"/>
          <w:sz w:val="28"/>
          <w:szCs w:val="28"/>
        </w:rPr>
        <w:tab/>
        <w:t>SCOPE</w:t>
      </w:r>
    </w:p>
    <w:p w14:paraId="3B68FC2B" w14:textId="5D622FAA" w:rsidR="00126D79" w:rsidRDefault="00790A63" w:rsidP="00086D73">
      <w:pPr>
        <w:pStyle w:val="BodyTextIndent2"/>
        <w:ind w:left="0"/>
        <w:jc w:val="both"/>
        <w:rPr>
          <w:rFonts w:asciiTheme="minorHAnsi" w:hAnsiTheme="minorHAnsi"/>
          <w:sz w:val="24"/>
          <w:szCs w:val="24"/>
        </w:rPr>
      </w:pPr>
      <w:r w:rsidRPr="00790A63">
        <w:rPr>
          <w:rFonts w:asciiTheme="minorHAnsi" w:hAnsiTheme="minorHAnsi"/>
          <w:sz w:val="24"/>
          <w:szCs w:val="24"/>
        </w:rPr>
        <w:t>This SOP applies to the IRB administrative staff, IRB members, IRB compliance auditing staff, and investigators</w:t>
      </w:r>
      <w:r w:rsidR="00344B5F" w:rsidRPr="00344B5F">
        <w:rPr>
          <w:rFonts w:asciiTheme="minorHAnsi" w:hAnsiTheme="minorHAnsi"/>
          <w:sz w:val="24"/>
          <w:szCs w:val="24"/>
        </w:rPr>
        <w:t>.</w:t>
      </w:r>
    </w:p>
    <w:p w14:paraId="02EB378F" w14:textId="77777777" w:rsidR="00126D79" w:rsidRPr="00126D79" w:rsidRDefault="00126D79" w:rsidP="00086D73">
      <w:pPr>
        <w:pStyle w:val="BodyTextIndent2"/>
        <w:ind w:left="0"/>
        <w:jc w:val="both"/>
        <w:rPr>
          <w:rFonts w:asciiTheme="minorHAnsi" w:hAnsiTheme="minorHAnsi"/>
          <w:sz w:val="24"/>
          <w:szCs w:val="24"/>
        </w:rPr>
      </w:pPr>
    </w:p>
    <w:p w14:paraId="0D6438E1" w14:textId="77777777" w:rsidR="00126D79" w:rsidRPr="00126D79" w:rsidRDefault="00126D79" w:rsidP="00086D73">
      <w:pPr>
        <w:jc w:val="both"/>
        <w:rPr>
          <w:sz w:val="24"/>
          <w:szCs w:val="24"/>
        </w:rPr>
      </w:pPr>
      <w:r w:rsidRPr="00126D79">
        <w:rPr>
          <w:b/>
          <w:sz w:val="24"/>
          <w:szCs w:val="24"/>
        </w:rPr>
        <w:t>Personnel responsible</w:t>
      </w:r>
      <w:r w:rsidRPr="00126D79">
        <w:rPr>
          <w:sz w:val="24"/>
          <w:szCs w:val="24"/>
        </w:rPr>
        <w:t>:</w:t>
      </w:r>
    </w:p>
    <w:p w14:paraId="5D597E77" w14:textId="7258C396" w:rsidR="00126D79" w:rsidRPr="00126D79" w:rsidRDefault="00790A63" w:rsidP="00086D73">
      <w:pPr>
        <w:tabs>
          <w:tab w:val="left" w:pos="450"/>
        </w:tabs>
        <w:spacing w:after="0" w:line="240" w:lineRule="auto"/>
        <w:jc w:val="both"/>
        <w:rPr>
          <w:rFonts w:cs="Arial"/>
          <w:color w:val="444444"/>
          <w:sz w:val="24"/>
          <w:szCs w:val="24"/>
        </w:rPr>
      </w:pPr>
      <w:r w:rsidRPr="00790A63">
        <w:rPr>
          <w:sz w:val="24"/>
          <w:szCs w:val="24"/>
        </w:rPr>
        <w:t xml:space="preserve">IRB Compliance Advisor, Director, section chair, administrative </w:t>
      </w:r>
      <w:proofErr w:type="gramStart"/>
      <w:r w:rsidRPr="00790A63">
        <w:rPr>
          <w:sz w:val="24"/>
          <w:szCs w:val="24"/>
        </w:rPr>
        <w:t>staff</w:t>
      </w:r>
      <w:proofErr w:type="gramEnd"/>
      <w:r w:rsidRPr="00790A63">
        <w:rPr>
          <w:sz w:val="24"/>
          <w:szCs w:val="24"/>
        </w:rPr>
        <w:t xml:space="preserve"> and IRB members</w:t>
      </w:r>
      <w:r w:rsidR="00126D79" w:rsidRPr="00126D79">
        <w:rPr>
          <w:sz w:val="24"/>
          <w:szCs w:val="24"/>
        </w:rPr>
        <w:t>.</w:t>
      </w:r>
    </w:p>
    <w:p w14:paraId="6A05A809" w14:textId="77777777" w:rsidR="00126D79" w:rsidRDefault="00126D79" w:rsidP="00086D73">
      <w:pPr>
        <w:tabs>
          <w:tab w:val="left" w:pos="450"/>
        </w:tabs>
        <w:spacing w:after="0" w:line="240" w:lineRule="auto"/>
        <w:jc w:val="both"/>
        <w:rPr>
          <w:rFonts w:cs="Arial"/>
          <w:color w:val="444444"/>
          <w:sz w:val="24"/>
          <w:szCs w:val="24"/>
        </w:rPr>
      </w:pPr>
    </w:p>
    <w:p w14:paraId="1C45980E" w14:textId="77777777" w:rsidR="00126D79" w:rsidRDefault="00126D79" w:rsidP="00086D73">
      <w:pPr>
        <w:tabs>
          <w:tab w:val="left" w:pos="450"/>
        </w:tabs>
        <w:spacing w:after="0" w:line="240" w:lineRule="auto"/>
        <w:jc w:val="both"/>
        <w:rPr>
          <w:rFonts w:cs="Arial"/>
          <w:color w:val="444444"/>
          <w:sz w:val="24"/>
          <w:szCs w:val="24"/>
        </w:rPr>
      </w:pPr>
      <w:r>
        <w:rPr>
          <w:b/>
          <w:color w:val="1F4E79" w:themeColor="accent1" w:themeShade="80"/>
          <w:sz w:val="28"/>
          <w:szCs w:val="28"/>
        </w:rPr>
        <w:t>I</w:t>
      </w:r>
      <w:r w:rsidR="001149F1">
        <w:rPr>
          <w:b/>
          <w:color w:val="1F4E79" w:themeColor="accent1" w:themeShade="80"/>
          <w:sz w:val="28"/>
          <w:szCs w:val="28"/>
        </w:rPr>
        <w:t>I</w:t>
      </w:r>
      <w:r>
        <w:rPr>
          <w:b/>
          <w:color w:val="1F4E79" w:themeColor="accent1" w:themeShade="80"/>
          <w:sz w:val="28"/>
          <w:szCs w:val="28"/>
        </w:rPr>
        <w:t>I.</w:t>
      </w:r>
      <w:r>
        <w:rPr>
          <w:b/>
          <w:color w:val="1F4E79" w:themeColor="accent1" w:themeShade="80"/>
          <w:sz w:val="28"/>
          <w:szCs w:val="28"/>
        </w:rPr>
        <w:tab/>
        <w:t>BACKGROUND</w:t>
      </w:r>
    </w:p>
    <w:p w14:paraId="5A39BBE3" w14:textId="77777777" w:rsidR="00126D79" w:rsidRPr="00126D79" w:rsidRDefault="00126D79" w:rsidP="00086D73">
      <w:pPr>
        <w:tabs>
          <w:tab w:val="left" w:pos="450"/>
        </w:tabs>
        <w:spacing w:after="0" w:line="240" w:lineRule="auto"/>
        <w:jc w:val="both"/>
        <w:rPr>
          <w:rFonts w:cs="Arial"/>
          <w:color w:val="444444"/>
          <w:sz w:val="24"/>
          <w:szCs w:val="24"/>
        </w:rPr>
      </w:pPr>
    </w:p>
    <w:p w14:paraId="5C62AF59" w14:textId="77777777" w:rsidR="00451225" w:rsidRPr="00451225" w:rsidRDefault="00451225" w:rsidP="00451225">
      <w:pPr>
        <w:tabs>
          <w:tab w:val="left" w:pos="450"/>
        </w:tabs>
        <w:spacing w:after="0" w:line="240" w:lineRule="auto"/>
        <w:jc w:val="both"/>
        <w:rPr>
          <w:sz w:val="24"/>
          <w:szCs w:val="24"/>
        </w:rPr>
      </w:pPr>
      <w:r w:rsidRPr="00451225">
        <w:rPr>
          <w:sz w:val="24"/>
          <w:szCs w:val="24"/>
        </w:rPr>
        <w:t xml:space="preserve">Under federal regulations for the protection of human subjects, IRBs must maintain written procedures for ensuring prompt reporting of any unanticipated problems involving risks to subjects or others, or any serious and continuing noncompliance with federal regulations or local IRB policies and procedures. In addition, the regulations require IRBs to conduct continuing review of previously approved research, and specifically authorize IRBs to observe or have a third party observe the consent process and the research as part of the continuing review process.  </w:t>
      </w:r>
    </w:p>
    <w:p w14:paraId="50EDCCB0" w14:textId="77777777" w:rsidR="00451225" w:rsidRPr="00451225" w:rsidRDefault="00451225" w:rsidP="00451225">
      <w:pPr>
        <w:tabs>
          <w:tab w:val="left" w:pos="450"/>
        </w:tabs>
        <w:spacing w:after="0" w:line="240" w:lineRule="auto"/>
        <w:jc w:val="both"/>
        <w:rPr>
          <w:sz w:val="24"/>
          <w:szCs w:val="24"/>
        </w:rPr>
      </w:pPr>
    </w:p>
    <w:p w14:paraId="4DD2503B" w14:textId="77777777" w:rsidR="00451225" w:rsidRPr="00451225" w:rsidRDefault="00451225" w:rsidP="00451225">
      <w:pPr>
        <w:tabs>
          <w:tab w:val="left" w:pos="450"/>
        </w:tabs>
        <w:spacing w:after="0" w:line="240" w:lineRule="auto"/>
        <w:jc w:val="both"/>
        <w:rPr>
          <w:sz w:val="24"/>
          <w:szCs w:val="24"/>
        </w:rPr>
      </w:pPr>
      <w:r w:rsidRPr="00451225">
        <w:rPr>
          <w:sz w:val="24"/>
          <w:szCs w:val="24"/>
        </w:rPr>
        <w:t xml:space="preserve">One component of the IRB’s compliance oversight activities involves auditing of previously approved studies. The process of compliance auditing is meant to accomplish several important purposes.  First, it is intended to assure that human subjects are properly protected, and that the procedures used to accomplish this goal are carefully documented.  Second, the auditing process is intended to assist investigators in complying with the current regulatory standards for protecting human subjects and in avoiding any external sanctions that may result from non-compliance with regulatory requirements.  Finally, the process is intended to assure that the University and affiliated institutions remain in good standing with federal agencies having oversight of human </w:t>
      </w:r>
      <w:proofErr w:type="gramStart"/>
      <w:r w:rsidRPr="00451225">
        <w:rPr>
          <w:sz w:val="24"/>
          <w:szCs w:val="24"/>
        </w:rPr>
        <w:t>subjects</w:t>
      </w:r>
      <w:proofErr w:type="gramEnd"/>
      <w:r w:rsidRPr="00451225">
        <w:rPr>
          <w:sz w:val="24"/>
          <w:szCs w:val="24"/>
        </w:rPr>
        <w:t xml:space="preserve"> research activities, as well as federal entities and non-governmental institutions that provide financial support for the conduct of research.</w:t>
      </w:r>
    </w:p>
    <w:p w14:paraId="185CCE8A" w14:textId="77777777" w:rsidR="00451225" w:rsidRPr="00451225" w:rsidRDefault="00451225" w:rsidP="00451225">
      <w:pPr>
        <w:tabs>
          <w:tab w:val="left" w:pos="450"/>
        </w:tabs>
        <w:spacing w:after="0" w:line="240" w:lineRule="auto"/>
        <w:jc w:val="both"/>
        <w:rPr>
          <w:sz w:val="24"/>
          <w:szCs w:val="24"/>
        </w:rPr>
      </w:pPr>
    </w:p>
    <w:p w14:paraId="7FDB92C3" w14:textId="4C348CA2" w:rsidR="00466C87" w:rsidRPr="00451225" w:rsidRDefault="00451225" w:rsidP="00466C87">
      <w:pPr>
        <w:tabs>
          <w:tab w:val="left" w:pos="450"/>
        </w:tabs>
        <w:spacing w:after="0" w:line="240" w:lineRule="auto"/>
        <w:jc w:val="both"/>
        <w:rPr>
          <w:sz w:val="24"/>
          <w:szCs w:val="24"/>
        </w:rPr>
      </w:pPr>
      <w:r w:rsidRPr="00451225">
        <w:rPr>
          <w:sz w:val="24"/>
          <w:szCs w:val="24"/>
        </w:rPr>
        <w:t>The purpose of this policy is to provide written guidance on operational requirements for compliance auditing activities.</w:t>
      </w:r>
    </w:p>
    <w:p w14:paraId="0D0B940D" w14:textId="77777777" w:rsidR="00126D79" w:rsidRDefault="00126D79" w:rsidP="00086D73">
      <w:pPr>
        <w:tabs>
          <w:tab w:val="left" w:pos="450"/>
        </w:tabs>
        <w:spacing w:after="0" w:line="240" w:lineRule="auto"/>
        <w:jc w:val="both"/>
        <w:rPr>
          <w:rFonts w:cs="Times"/>
          <w:color w:val="000000"/>
          <w:sz w:val="24"/>
          <w:szCs w:val="24"/>
        </w:rPr>
      </w:pPr>
    </w:p>
    <w:p w14:paraId="20A24E52" w14:textId="77777777" w:rsidR="001149F1" w:rsidRPr="001149F1" w:rsidRDefault="001149F1" w:rsidP="00086D73">
      <w:pPr>
        <w:pStyle w:val="BodyTextIndent2"/>
        <w:ind w:left="0"/>
        <w:jc w:val="both"/>
        <w:rPr>
          <w:rFonts w:asciiTheme="minorHAnsi" w:hAnsiTheme="minorHAnsi"/>
          <w:b/>
          <w:sz w:val="24"/>
          <w:szCs w:val="24"/>
        </w:rPr>
      </w:pPr>
      <w:r w:rsidRPr="001149F1">
        <w:rPr>
          <w:rFonts w:asciiTheme="minorHAnsi" w:hAnsiTheme="minorHAnsi"/>
          <w:b/>
          <w:sz w:val="24"/>
          <w:szCs w:val="24"/>
        </w:rPr>
        <w:t>In accordance with:</w:t>
      </w:r>
    </w:p>
    <w:p w14:paraId="0E27B00A" w14:textId="77777777" w:rsidR="001149F1" w:rsidRPr="001149F1" w:rsidRDefault="001149F1" w:rsidP="00086D73">
      <w:pPr>
        <w:pStyle w:val="BodyTextIndent2"/>
        <w:ind w:left="0"/>
        <w:jc w:val="both"/>
        <w:rPr>
          <w:rFonts w:asciiTheme="minorHAnsi" w:hAnsiTheme="minorHAnsi"/>
          <w:b/>
          <w:sz w:val="24"/>
          <w:szCs w:val="24"/>
        </w:rPr>
      </w:pPr>
    </w:p>
    <w:p w14:paraId="0A4BC877" w14:textId="77777777" w:rsidR="00451225" w:rsidRPr="00451225" w:rsidRDefault="00451225" w:rsidP="00451225">
      <w:pPr>
        <w:tabs>
          <w:tab w:val="left" w:pos="450"/>
        </w:tabs>
        <w:spacing w:after="0" w:line="240" w:lineRule="auto"/>
        <w:jc w:val="both"/>
        <w:rPr>
          <w:rFonts w:eastAsia="Times New Roman" w:cs="Times New Roman"/>
          <w:bCs/>
          <w:sz w:val="24"/>
          <w:szCs w:val="24"/>
        </w:rPr>
      </w:pPr>
      <w:r w:rsidRPr="00451225">
        <w:rPr>
          <w:rFonts w:eastAsia="Times New Roman" w:cs="Times New Roman"/>
          <w:bCs/>
          <w:sz w:val="24"/>
          <w:szCs w:val="24"/>
        </w:rPr>
        <w:t>For studies approved under the revised Common Rule:</w:t>
      </w:r>
    </w:p>
    <w:p w14:paraId="185630DC" w14:textId="77777777" w:rsidR="00451225" w:rsidRPr="00451225" w:rsidRDefault="00451225" w:rsidP="00451225">
      <w:pPr>
        <w:tabs>
          <w:tab w:val="left" w:pos="450"/>
        </w:tabs>
        <w:spacing w:after="0" w:line="240" w:lineRule="auto"/>
        <w:jc w:val="both"/>
        <w:rPr>
          <w:rFonts w:eastAsia="Times New Roman" w:cs="Times New Roman"/>
          <w:sz w:val="24"/>
          <w:szCs w:val="24"/>
        </w:rPr>
      </w:pPr>
      <w:r w:rsidRPr="00451225">
        <w:rPr>
          <w:rFonts w:eastAsia="Times New Roman" w:cs="Times New Roman"/>
          <w:sz w:val="24"/>
          <w:szCs w:val="24"/>
        </w:rPr>
        <w:t>45 CFR 46.108(a)(4); 45 CFR 46.109(a); 45 CFR 46.109(e); 45 CFR 46.111(a)(6); 45 CFR 46.113; and</w:t>
      </w:r>
    </w:p>
    <w:p w14:paraId="3D9D212B" w14:textId="77777777" w:rsidR="00451225" w:rsidRPr="00451225" w:rsidRDefault="00451225" w:rsidP="00451225">
      <w:pPr>
        <w:tabs>
          <w:tab w:val="left" w:pos="450"/>
        </w:tabs>
        <w:spacing w:after="0" w:line="240" w:lineRule="auto"/>
        <w:jc w:val="both"/>
        <w:rPr>
          <w:rFonts w:eastAsia="Times New Roman" w:cs="Times New Roman"/>
          <w:sz w:val="24"/>
          <w:szCs w:val="24"/>
        </w:rPr>
      </w:pPr>
    </w:p>
    <w:p w14:paraId="500E3FC5" w14:textId="77777777" w:rsidR="00451225" w:rsidRPr="00451225" w:rsidRDefault="00451225" w:rsidP="00451225">
      <w:pPr>
        <w:tabs>
          <w:tab w:val="left" w:pos="450"/>
        </w:tabs>
        <w:spacing w:after="0" w:line="240" w:lineRule="auto"/>
        <w:jc w:val="both"/>
        <w:rPr>
          <w:rFonts w:eastAsia="Times New Roman" w:cs="Times New Roman"/>
          <w:bCs/>
          <w:sz w:val="24"/>
          <w:szCs w:val="24"/>
        </w:rPr>
      </w:pPr>
      <w:r w:rsidRPr="00451225">
        <w:rPr>
          <w:rFonts w:eastAsia="Times New Roman" w:cs="Times New Roman"/>
          <w:bCs/>
          <w:sz w:val="24"/>
          <w:szCs w:val="24"/>
        </w:rPr>
        <w:t xml:space="preserve">For studies approved under the Pre-2018 Common Rule: </w:t>
      </w:r>
    </w:p>
    <w:p w14:paraId="4DB1378A" w14:textId="77777777" w:rsidR="00451225" w:rsidRPr="00451225" w:rsidRDefault="00451225" w:rsidP="00451225">
      <w:pPr>
        <w:tabs>
          <w:tab w:val="left" w:pos="450"/>
        </w:tabs>
        <w:spacing w:after="0" w:line="240" w:lineRule="auto"/>
        <w:jc w:val="both"/>
        <w:rPr>
          <w:rFonts w:eastAsia="Times New Roman" w:cs="Times New Roman"/>
          <w:sz w:val="24"/>
          <w:szCs w:val="24"/>
        </w:rPr>
      </w:pPr>
      <w:hyperlink r:id="rId8" w:history="1">
        <w:r w:rsidRPr="00451225">
          <w:rPr>
            <w:rStyle w:val="Hyperlink"/>
            <w:rFonts w:eastAsia="Times New Roman" w:cs="Times New Roman"/>
            <w:sz w:val="24"/>
            <w:szCs w:val="24"/>
          </w:rPr>
          <w:t>45 CFR 46.103(b)(5)</w:t>
        </w:r>
      </w:hyperlink>
      <w:r w:rsidRPr="00451225">
        <w:rPr>
          <w:rFonts w:eastAsia="Times New Roman" w:cs="Times New Roman"/>
          <w:sz w:val="24"/>
          <w:szCs w:val="24"/>
        </w:rPr>
        <w:t>; and</w:t>
      </w:r>
    </w:p>
    <w:p w14:paraId="22AC9435" w14:textId="77777777" w:rsidR="00451225" w:rsidRPr="00451225" w:rsidRDefault="00451225" w:rsidP="00451225">
      <w:pPr>
        <w:tabs>
          <w:tab w:val="left" w:pos="450"/>
        </w:tabs>
        <w:spacing w:after="0" w:line="240" w:lineRule="auto"/>
        <w:jc w:val="both"/>
        <w:rPr>
          <w:rFonts w:eastAsia="Times New Roman" w:cs="Times New Roman"/>
          <w:sz w:val="24"/>
          <w:szCs w:val="24"/>
        </w:rPr>
      </w:pPr>
    </w:p>
    <w:p w14:paraId="51BE7E62" w14:textId="77777777" w:rsidR="00451225" w:rsidRPr="00451225" w:rsidRDefault="00451225" w:rsidP="00451225">
      <w:pPr>
        <w:tabs>
          <w:tab w:val="left" w:pos="450"/>
        </w:tabs>
        <w:spacing w:after="0" w:line="240" w:lineRule="auto"/>
        <w:jc w:val="both"/>
        <w:rPr>
          <w:rFonts w:eastAsia="Times New Roman" w:cs="Times New Roman"/>
          <w:bCs/>
          <w:sz w:val="24"/>
          <w:szCs w:val="24"/>
        </w:rPr>
      </w:pPr>
      <w:r w:rsidRPr="00451225">
        <w:rPr>
          <w:rFonts w:eastAsia="Times New Roman" w:cs="Times New Roman"/>
          <w:bCs/>
          <w:sz w:val="24"/>
          <w:szCs w:val="24"/>
        </w:rPr>
        <w:t>For FDA-regulated studies:</w:t>
      </w:r>
    </w:p>
    <w:p w14:paraId="14035A3C" w14:textId="77777777" w:rsidR="00451225" w:rsidRPr="00451225" w:rsidRDefault="00451225" w:rsidP="00451225">
      <w:pPr>
        <w:tabs>
          <w:tab w:val="left" w:pos="450"/>
        </w:tabs>
        <w:spacing w:after="0" w:line="240" w:lineRule="auto"/>
        <w:jc w:val="both"/>
        <w:rPr>
          <w:rFonts w:eastAsia="Times New Roman" w:cs="Times New Roman"/>
          <w:b/>
          <w:sz w:val="24"/>
          <w:szCs w:val="24"/>
        </w:rPr>
      </w:pPr>
      <w:r w:rsidRPr="00451225">
        <w:rPr>
          <w:rFonts w:eastAsia="Times New Roman" w:cs="Times New Roman"/>
          <w:sz w:val="24"/>
          <w:szCs w:val="24"/>
        </w:rPr>
        <w:t>21 CFR 56.108(b); 21 CFR 56.109(f); 21 CFR 56.111(a)(6)</w:t>
      </w:r>
      <w:r w:rsidRPr="00451225">
        <w:rPr>
          <w:rFonts w:eastAsia="Times New Roman" w:cs="Times New Roman"/>
          <w:b/>
          <w:sz w:val="24"/>
          <w:szCs w:val="24"/>
        </w:rPr>
        <w:t xml:space="preserve"> </w:t>
      </w:r>
    </w:p>
    <w:p w14:paraId="5FA96119" w14:textId="77777777" w:rsidR="00451225" w:rsidRPr="00451225" w:rsidRDefault="00451225" w:rsidP="00451225">
      <w:pPr>
        <w:tabs>
          <w:tab w:val="left" w:pos="450"/>
        </w:tabs>
        <w:spacing w:after="0" w:line="240" w:lineRule="auto"/>
        <w:jc w:val="both"/>
        <w:rPr>
          <w:rFonts w:eastAsia="Times New Roman" w:cs="Times New Roman"/>
          <w:sz w:val="24"/>
          <w:szCs w:val="24"/>
        </w:rPr>
      </w:pPr>
    </w:p>
    <w:p w14:paraId="7FFEE9D9" w14:textId="77777777" w:rsidR="00451225" w:rsidRPr="00451225" w:rsidRDefault="00451225" w:rsidP="00451225">
      <w:pPr>
        <w:tabs>
          <w:tab w:val="left" w:pos="450"/>
        </w:tabs>
        <w:spacing w:after="0" w:line="240" w:lineRule="auto"/>
        <w:jc w:val="both"/>
        <w:rPr>
          <w:rFonts w:eastAsia="Times New Roman" w:cs="Times New Roman"/>
          <w:sz w:val="24"/>
          <w:szCs w:val="24"/>
        </w:rPr>
      </w:pPr>
      <w:r w:rsidRPr="00451225">
        <w:rPr>
          <w:rFonts w:eastAsia="Times New Roman" w:cs="Times New Roman"/>
          <w:sz w:val="24"/>
          <w:szCs w:val="24"/>
        </w:rPr>
        <w:t>Institutional Review Boards Frequently Asked Questions – Information Sheet</w:t>
      </w:r>
    </w:p>
    <w:p w14:paraId="715E2E01" w14:textId="77777777" w:rsidR="00451225" w:rsidRPr="00451225" w:rsidRDefault="00451225" w:rsidP="00451225">
      <w:pPr>
        <w:tabs>
          <w:tab w:val="left" w:pos="450"/>
        </w:tabs>
        <w:spacing w:after="0" w:line="240" w:lineRule="auto"/>
        <w:jc w:val="both"/>
        <w:rPr>
          <w:rFonts w:eastAsia="Times New Roman" w:cs="Times New Roman"/>
          <w:b/>
          <w:i/>
          <w:sz w:val="24"/>
          <w:szCs w:val="24"/>
        </w:rPr>
      </w:pPr>
      <w:hyperlink r:id="rId9" w:history="1">
        <w:r w:rsidRPr="00451225">
          <w:rPr>
            <w:rStyle w:val="Hyperlink"/>
            <w:rFonts w:eastAsia="Times New Roman" w:cs="Times New Roman"/>
            <w:sz w:val="24"/>
            <w:szCs w:val="24"/>
          </w:rPr>
          <w:t>http://www.fda.gov/RegulatoryInformation/Guidances/ucm126420.htm</w:t>
        </w:r>
      </w:hyperlink>
    </w:p>
    <w:p w14:paraId="4517C616" w14:textId="77777777" w:rsidR="00451225" w:rsidRPr="00451225" w:rsidRDefault="00451225" w:rsidP="00451225">
      <w:pPr>
        <w:tabs>
          <w:tab w:val="left" w:pos="450"/>
        </w:tabs>
        <w:spacing w:after="0" w:line="240" w:lineRule="auto"/>
        <w:jc w:val="both"/>
        <w:rPr>
          <w:rFonts w:eastAsia="Times New Roman" w:cs="Times New Roman"/>
          <w:b/>
          <w:i/>
          <w:sz w:val="24"/>
          <w:szCs w:val="24"/>
        </w:rPr>
      </w:pPr>
    </w:p>
    <w:p w14:paraId="32C4ED4D" w14:textId="3C171F39" w:rsidR="00126D79" w:rsidRDefault="00451225" w:rsidP="00451225">
      <w:pPr>
        <w:tabs>
          <w:tab w:val="left" w:pos="450"/>
        </w:tabs>
        <w:spacing w:after="0" w:line="240" w:lineRule="auto"/>
        <w:jc w:val="both"/>
        <w:rPr>
          <w:sz w:val="24"/>
          <w:szCs w:val="24"/>
        </w:rPr>
      </w:pPr>
      <w:r w:rsidRPr="00451225">
        <w:rPr>
          <w:rFonts w:eastAsia="Times New Roman" w:cs="Times New Roman"/>
          <w:b/>
          <w:i/>
          <w:sz w:val="24"/>
          <w:szCs w:val="24"/>
        </w:rPr>
        <w:t>Compliance with this policy also requires compliance with state or local laws or regulations that provide additional protections for human subjects</w:t>
      </w:r>
      <w:r w:rsidR="001149F1" w:rsidRPr="001149F1">
        <w:rPr>
          <w:b/>
          <w:i/>
          <w:sz w:val="24"/>
          <w:szCs w:val="24"/>
        </w:rPr>
        <w:t>.</w:t>
      </w:r>
    </w:p>
    <w:p w14:paraId="45FB0818" w14:textId="77777777" w:rsidR="001149F1" w:rsidRDefault="001149F1" w:rsidP="00086D73">
      <w:pPr>
        <w:tabs>
          <w:tab w:val="left" w:pos="450"/>
        </w:tabs>
        <w:spacing w:after="0" w:line="240" w:lineRule="auto"/>
        <w:jc w:val="both"/>
        <w:rPr>
          <w:sz w:val="24"/>
          <w:szCs w:val="24"/>
        </w:rPr>
      </w:pPr>
    </w:p>
    <w:p w14:paraId="48C0B980" w14:textId="77777777" w:rsidR="00CD3B07" w:rsidRDefault="001149F1" w:rsidP="00086D73">
      <w:pPr>
        <w:tabs>
          <w:tab w:val="left" w:pos="450"/>
        </w:tabs>
        <w:spacing w:after="0" w:line="240" w:lineRule="auto"/>
        <w:jc w:val="both"/>
        <w:rPr>
          <w:rFonts w:cs="Arial"/>
          <w:color w:val="444444"/>
          <w:sz w:val="24"/>
          <w:szCs w:val="24"/>
        </w:rPr>
      </w:pPr>
      <w:r>
        <w:rPr>
          <w:b/>
          <w:color w:val="1F4E79" w:themeColor="accent1" w:themeShade="80"/>
          <w:sz w:val="28"/>
          <w:szCs w:val="28"/>
        </w:rPr>
        <w:t>IV.</w:t>
      </w:r>
      <w:r>
        <w:rPr>
          <w:b/>
          <w:color w:val="1F4E79" w:themeColor="accent1" w:themeShade="80"/>
          <w:sz w:val="28"/>
          <w:szCs w:val="28"/>
        </w:rPr>
        <w:tab/>
      </w:r>
      <w:r w:rsidR="00CD3B07">
        <w:rPr>
          <w:b/>
          <w:color w:val="1F4E79" w:themeColor="accent1" w:themeShade="80"/>
          <w:sz w:val="28"/>
          <w:szCs w:val="28"/>
        </w:rPr>
        <w:t>PROCEDURES</w:t>
      </w:r>
    </w:p>
    <w:p w14:paraId="049F31CB" w14:textId="77777777" w:rsidR="00CD3B07" w:rsidRPr="00CD3B07" w:rsidRDefault="00CD3B07" w:rsidP="00086D73">
      <w:pPr>
        <w:spacing w:after="0" w:line="240" w:lineRule="auto"/>
        <w:jc w:val="both"/>
        <w:rPr>
          <w:b/>
          <w:sz w:val="24"/>
          <w:szCs w:val="24"/>
        </w:rPr>
      </w:pPr>
    </w:p>
    <w:p w14:paraId="7DAC9C0E" w14:textId="77777777" w:rsidR="00284614" w:rsidRPr="00284614" w:rsidRDefault="00284614" w:rsidP="00284614">
      <w:pPr>
        <w:pStyle w:val="Header"/>
        <w:numPr>
          <w:ilvl w:val="1"/>
          <w:numId w:val="27"/>
        </w:numPr>
        <w:rPr>
          <w:b/>
          <w:sz w:val="24"/>
          <w:u w:val="single"/>
        </w:rPr>
      </w:pPr>
      <w:bookmarkStart w:id="1" w:name="_Hlk55224913"/>
      <w:r w:rsidRPr="00284614">
        <w:rPr>
          <w:b/>
          <w:sz w:val="24"/>
          <w:u w:val="single"/>
        </w:rPr>
        <w:t>General Authority</w:t>
      </w:r>
    </w:p>
    <w:p w14:paraId="61EBC270" w14:textId="77777777" w:rsidR="00284614" w:rsidRPr="00284614" w:rsidRDefault="00284614" w:rsidP="00284614">
      <w:pPr>
        <w:pStyle w:val="Header"/>
        <w:ind w:left="1080"/>
        <w:rPr>
          <w:b/>
          <w:sz w:val="24"/>
          <w:u w:val="single"/>
        </w:rPr>
      </w:pPr>
    </w:p>
    <w:p w14:paraId="2C8F3E8C" w14:textId="77777777" w:rsidR="00284614" w:rsidRPr="00284614" w:rsidRDefault="00284614" w:rsidP="00284614">
      <w:pPr>
        <w:pStyle w:val="Header"/>
        <w:numPr>
          <w:ilvl w:val="2"/>
          <w:numId w:val="27"/>
        </w:numPr>
        <w:rPr>
          <w:bCs/>
          <w:sz w:val="24"/>
        </w:rPr>
      </w:pPr>
      <w:r w:rsidRPr="00284614">
        <w:rPr>
          <w:bCs/>
          <w:sz w:val="24"/>
        </w:rPr>
        <w:t>The UTHSC IRB has the authority to review at any time all research records and materials including, but not limited to: informed consent</w:t>
      </w:r>
      <w:r w:rsidRPr="00284614" w:rsidDel="00B24A74">
        <w:rPr>
          <w:bCs/>
          <w:sz w:val="24"/>
        </w:rPr>
        <w:t xml:space="preserve"> documents</w:t>
      </w:r>
      <w:r w:rsidRPr="00284614">
        <w:rPr>
          <w:bCs/>
          <w:sz w:val="24"/>
        </w:rPr>
        <w:t>; regulatory files; IRB files; subjects’ research and medical records, including the results of procedures and tests performed during the course of the research; arrangements for the storage of investigational articles (including drugs, devices, or biologics) and specimens; and protections for the security of paper and electronic research records, as well as for the transmission of data and specimens to other sites.</w:t>
      </w:r>
    </w:p>
    <w:p w14:paraId="0E5F3E01" w14:textId="77777777" w:rsidR="00284614" w:rsidRPr="00284614" w:rsidRDefault="00284614" w:rsidP="00284614">
      <w:pPr>
        <w:pStyle w:val="Header"/>
        <w:rPr>
          <w:bCs/>
          <w:sz w:val="24"/>
        </w:rPr>
      </w:pPr>
    </w:p>
    <w:p w14:paraId="76DA683A" w14:textId="77777777" w:rsidR="00284614" w:rsidRPr="00284614" w:rsidRDefault="00284614" w:rsidP="00284614">
      <w:pPr>
        <w:pStyle w:val="Header"/>
        <w:numPr>
          <w:ilvl w:val="2"/>
          <w:numId w:val="27"/>
        </w:numPr>
        <w:rPr>
          <w:bCs/>
          <w:sz w:val="24"/>
        </w:rPr>
      </w:pPr>
      <w:r w:rsidRPr="00284614">
        <w:rPr>
          <w:bCs/>
          <w:sz w:val="24"/>
        </w:rPr>
        <w:t>Research compliance auditing staff also have the authority to observe the informed consent process and the conduct of the research, and to interview subjects either during or after their participation in research activities.</w:t>
      </w:r>
    </w:p>
    <w:bookmarkEnd w:id="1"/>
    <w:p w14:paraId="4D6CE030" w14:textId="0FE63D07" w:rsidR="00EE61EC" w:rsidRDefault="00EE61EC" w:rsidP="00883A71">
      <w:pPr>
        <w:spacing w:after="0"/>
        <w:ind w:left="720"/>
        <w:jc w:val="both"/>
      </w:pPr>
    </w:p>
    <w:p w14:paraId="63386BEC" w14:textId="1B48C618" w:rsidR="00883A71" w:rsidRDefault="00883A71" w:rsidP="00883A71">
      <w:pPr>
        <w:numPr>
          <w:ilvl w:val="1"/>
          <w:numId w:val="28"/>
        </w:numPr>
        <w:spacing w:after="0"/>
        <w:rPr>
          <w:b/>
          <w:bCs/>
          <w:sz w:val="24"/>
          <w:szCs w:val="24"/>
          <w:u w:val="single"/>
        </w:rPr>
      </w:pPr>
      <w:r w:rsidRPr="00883A71">
        <w:rPr>
          <w:b/>
          <w:bCs/>
          <w:sz w:val="24"/>
          <w:szCs w:val="24"/>
          <w:u w:val="single"/>
        </w:rPr>
        <w:t>Categories of Audits &amp; Notification</w:t>
      </w:r>
    </w:p>
    <w:p w14:paraId="51E43459" w14:textId="77777777" w:rsidR="00883A71" w:rsidRPr="00883A71" w:rsidRDefault="00883A71" w:rsidP="00883A71">
      <w:pPr>
        <w:spacing w:after="0"/>
        <w:ind w:left="720"/>
        <w:rPr>
          <w:b/>
          <w:bCs/>
          <w:sz w:val="24"/>
          <w:szCs w:val="24"/>
          <w:u w:val="single"/>
        </w:rPr>
      </w:pPr>
    </w:p>
    <w:p w14:paraId="084C895F" w14:textId="77777777" w:rsidR="00883A71" w:rsidRPr="00883A71" w:rsidRDefault="00883A71" w:rsidP="00883A71">
      <w:pPr>
        <w:numPr>
          <w:ilvl w:val="2"/>
          <w:numId w:val="28"/>
        </w:numPr>
        <w:spacing w:after="0"/>
        <w:jc w:val="both"/>
        <w:rPr>
          <w:rFonts w:cstheme="minorHAnsi"/>
          <w:sz w:val="24"/>
          <w:szCs w:val="24"/>
        </w:rPr>
      </w:pPr>
      <w:r w:rsidRPr="00883A71">
        <w:rPr>
          <w:rFonts w:cstheme="minorHAnsi"/>
          <w:sz w:val="24"/>
          <w:szCs w:val="24"/>
        </w:rPr>
        <w:t>There are five primary types of audits that may be conducted by the UTHSC IRB at the request of the IRB Director or Associate Director:</w:t>
      </w:r>
    </w:p>
    <w:p w14:paraId="7B3EA5B3" w14:textId="77777777" w:rsidR="00883A71" w:rsidRPr="00883A71" w:rsidRDefault="00883A71" w:rsidP="00883A71">
      <w:pPr>
        <w:numPr>
          <w:ilvl w:val="3"/>
          <w:numId w:val="28"/>
        </w:numPr>
        <w:spacing w:after="0"/>
        <w:ind w:left="1440" w:hanging="360"/>
        <w:jc w:val="both"/>
        <w:rPr>
          <w:rFonts w:cstheme="minorHAnsi"/>
          <w:sz w:val="24"/>
          <w:szCs w:val="24"/>
        </w:rPr>
      </w:pPr>
      <w:r w:rsidRPr="00883A71">
        <w:rPr>
          <w:rFonts w:cstheme="minorHAnsi"/>
          <w:b/>
          <w:sz w:val="24"/>
          <w:szCs w:val="24"/>
        </w:rPr>
        <w:t>Random/Routine</w:t>
      </w:r>
      <w:r w:rsidRPr="00883A71">
        <w:rPr>
          <w:rFonts w:cstheme="minorHAnsi"/>
          <w:sz w:val="24"/>
          <w:szCs w:val="24"/>
        </w:rPr>
        <w:t>: The IRB Compliance Advisor randomly selects a previously approved research study for routine audit.</w:t>
      </w:r>
    </w:p>
    <w:p w14:paraId="2D67B9F7" w14:textId="77777777" w:rsidR="00883A71" w:rsidRPr="00883A71" w:rsidRDefault="00883A71" w:rsidP="00883A71">
      <w:pPr>
        <w:numPr>
          <w:ilvl w:val="3"/>
          <w:numId w:val="28"/>
        </w:numPr>
        <w:spacing w:after="0"/>
        <w:ind w:left="1440" w:hanging="360"/>
        <w:jc w:val="both"/>
        <w:rPr>
          <w:rFonts w:cstheme="minorHAnsi"/>
          <w:sz w:val="24"/>
          <w:szCs w:val="24"/>
        </w:rPr>
      </w:pPr>
      <w:r w:rsidRPr="00883A71">
        <w:rPr>
          <w:rFonts w:cstheme="minorHAnsi"/>
          <w:b/>
          <w:sz w:val="24"/>
          <w:szCs w:val="24"/>
        </w:rPr>
        <w:t>For-cause:</w:t>
      </w:r>
      <w:r w:rsidRPr="00883A71">
        <w:rPr>
          <w:rFonts w:cstheme="minorHAnsi"/>
          <w:sz w:val="24"/>
          <w:szCs w:val="24"/>
        </w:rPr>
        <w:t xml:space="preserve"> This review is performed when concerns regarding regulatory compliance, protocol adherence, or subject safety are brought to the attention of the IRB, including:</w:t>
      </w:r>
    </w:p>
    <w:p w14:paraId="7F560EF8" w14:textId="77777777" w:rsidR="00883A71" w:rsidRPr="00883A71" w:rsidRDefault="00883A71" w:rsidP="00883A71">
      <w:pPr>
        <w:numPr>
          <w:ilvl w:val="4"/>
          <w:numId w:val="28"/>
        </w:numPr>
        <w:spacing w:after="0"/>
        <w:jc w:val="both"/>
        <w:rPr>
          <w:rFonts w:cstheme="minorHAnsi"/>
          <w:sz w:val="24"/>
          <w:szCs w:val="24"/>
        </w:rPr>
      </w:pPr>
      <w:r w:rsidRPr="00883A71">
        <w:rPr>
          <w:rFonts w:cstheme="minorHAnsi"/>
          <w:sz w:val="24"/>
          <w:szCs w:val="24"/>
        </w:rPr>
        <w:lastRenderedPageBreak/>
        <w:t xml:space="preserve">Any report of suspected </w:t>
      </w:r>
      <w:proofErr w:type="gramStart"/>
      <w:r w:rsidRPr="00883A71">
        <w:rPr>
          <w:rFonts w:cstheme="minorHAnsi"/>
          <w:sz w:val="24"/>
          <w:szCs w:val="24"/>
        </w:rPr>
        <w:t>non-compliance;</w:t>
      </w:r>
      <w:proofErr w:type="gramEnd"/>
    </w:p>
    <w:p w14:paraId="238942EC" w14:textId="77777777" w:rsidR="00883A71" w:rsidRPr="00883A71" w:rsidRDefault="00883A71" w:rsidP="00883A71">
      <w:pPr>
        <w:numPr>
          <w:ilvl w:val="4"/>
          <w:numId w:val="28"/>
        </w:numPr>
        <w:spacing w:after="0"/>
        <w:jc w:val="both"/>
        <w:rPr>
          <w:rFonts w:cstheme="minorHAnsi"/>
          <w:sz w:val="24"/>
          <w:szCs w:val="24"/>
        </w:rPr>
      </w:pPr>
      <w:r w:rsidRPr="00883A71">
        <w:rPr>
          <w:rFonts w:cstheme="minorHAnsi"/>
          <w:sz w:val="24"/>
          <w:szCs w:val="24"/>
        </w:rPr>
        <w:t xml:space="preserve">Research terminated by the IRB due to failure of the investigator to submit the study for continuing review or failure to respond to a request for information from the </w:t>
      </w:r>
      <w:proofErr w:type="gramStart"/>
      <w:r w:rsidRPr="00883A71">
        <w:rPr>
          <w:rFonts w:cstheme="minorHAnsi"/>
          <w:sz w:val="24"/>
          <w:szCs w:val="24"/>
        </w:rPr>
        <w:t>IRB;</w:t>
      </w:r>
      <w:proofErr w:type="gramEnd"/>
    </w:p>
    <w:p w14:paraId="63D910E7" w14:textId="77777777" w:rsidR="00883A71" w:rsidRPr="00883A71" w:rsidRDefault="00883A71" w:rsidP="00883A71">
      <w:pPr>
        <w:numPr>
          <w:ilvl w:val="4"/>
          <w:numId w:val="28"/>
        </w:numPr>
        <w:spacing w:after="0"/>
        <w:jc w:val="both"/>
        <w:rPr>
          <w:rFonts w:cstheme="minorHAnsi"/>
          <w:sz w:val="24"/>
          <w:szCs w:val="24"/>
        </w:rPr>
      </w:pPr>
      <w:r w:rsidRPr="00883A71">
        <w:rPr>
          <w:rFonts w:cstheme="minorHAnsi"/>
          <w:sz w:val="24"/>
          <w:szCs w:val="24"/>
        </w:rPr>
        <w:t xml:space="preserve">Questions regarding the accuracy of continuing review </w:t>
      </w:r>
      <w:proofErr w:type="gramStart"/>
      <w:r w:rsidRPr="00883A71">
        <w:rPr>
          <w:rFonts w:cstheme="minorHAnsi"/>
          <w:sz w:val="24"/>
          <w:szCs w:val="24"/>
        </w:rPr>
        <w:t>reports;</w:t>
      </w:r>
      <w:proofErr w:type="gramEnd"/>
    </w:p>
    <w:p w14:paraId="196A5E77" w14:textId="77777777" w:rsidR="00883A71" w:rsidRPr="00883A71" w:rsidRDefault="00883A71" w:rsidP="00883A71">
      <w:pPr>
        <w:numPr>
          <w:ilvl w:val="4"/>
          <w:numId w:val="28"/>
        </w:numPr>
        <w:spacing w:after="0"/>
        <w:jc w:val="both"/>
        <w:rPr>
          <w:rFonts w:cstheme="minorHAnsi"/>
          <w:sz w:val="24"/>
          <w:szCs w:val="24"/>
        </w:rPr>
      </w:pPr>
      <w:r w:rsidRPr="00883A71">
        <w:rPr>
          <w:rFonts w:cstheme="minorHAnsi"/>
          <w:sz w:val="24"/>
          <w:szCs w:val="24"/>
        </w:rPr>
        <w:t xml:space="preserve">Studies reporting </w:t>
      </w:r>
      <w:proofErr w:type="gramStart"/>
      <w:r w:rsidRPr="00883A71">
        <w:rPr>
          <w:rFonts w:cstheme="minorHAnsi"/>
          <w:sz w:val="24"/>
          <w:szCs w:val="24"/>
        </w:rPr>
        <w:t>a large number of</w:t>
      </w:r>
      <w:proofErr w:type="gramEnd"/>
      <w:r w:rsidRPr="00883A71">
        <w:rPr>
          <w:rFonts w:cstheme="minorHAnsi"/>
          <w:sz w:val="24"/>
          <w:szCs w:val="24"/>
        </w:rPr>
        <w:t xml:space="preserve"> unanticipated problems, including adverse events and/or protocol deviations; or</w:t>
      </w:r>
    </w:p>
    <w:p w14:paraId="20B6A7F7" w14:textId="77777777" w:rsidR="00883A71" w:rsidRPr="00883A71" w:rsidRDefault="00883A71" w:rsidP="00883A71">
      <w:pPr>
        <w:numPr>
          <w:ilvl w:val="4"/>
          <w:numId w:val="28"/>
        </w:numPr>
        <w:spacing w:after="0"/>
        <w:jc w:val="both"/>
        <w:rPr>
          <w:rFonts w:cstheme="minorHAnsi"/>
          <w:sz w:val="24"/>
          <w:szCs w:val="24"/>
        </w:rPr>
      </w:pPr>
      <w:r w:rsidRPr="00883A71">
        <w:rPr>
          <w:rFonts w:cstheme="minorHAnsi"/>
          <w:sz w:val="24"/>
          <w:szCs w:val="24"/>
        </w:rPr>
        <w:t>Studies designated as high risk by the Board.</w:t>
      </w:r>
    </w:p>
    <w:p w14:paraId="1A567311" w14:textId="77777777" w:rsidR="00883A71" w:rsidRPr="00883A71" w:rsidRDefault="00883A71" w:rsidP="00883A71">
      <w:pPr>
        <w:numPr>
          <w:ilvl w:val="3"/>
          <w:numId w:val="28"/>
        </w:numPr>
        <w:spacing w:after="0"/>
        <w:ind w:left="1440" w:hanging="360"/>
        <w:jc w:val="both"/>
        <w:rPr>
          <w:rFonts w:cstheme="minorHAnsi"/>
          <w:sz w:val="24"/>
          <w:szCs w:val="24"/>
        </w:rPr>
      </w:pPr>
      <w:r w:rsidRPr="00883A71">
        <w:rPr>
          <w:rFonts w:cstheme="minorHAnsi"/>
          <w:b/>
          <w:sz w:val="24"/>
          <w:szCs w:val="24"/>
        </w:rPr>
        <w:t>Training</w:t>
      </w:r>
      <w:r w:rsidRPr="00883A71">
        <w:rPr>
          <w:rFonts w:cstheme="minorHAnsi"/>
          <w:sz w:val="24"/>
          <w:szCs w:val="24"/>
        </w:rPr>
        <w:t>:  This audit is intended to support new researchers or researchers who initiate projects without external monetary support.  The training audit is generally performed shortly after the project receives initial IRB approval and provides instruction on procedures for assuring optimal regulatory compliance.</w:t>
      </w:r>
    </w:p>
    <w:p w14:paraId="01891FD5" w14:textId="77777777" w:rsidR="00883A71" w:rsidRPr="00883A71" w:rsidRDefault="00883A71" w:rsidP="00883A71">
      <w:pPr>
        <w:numPr>
          <w:ilvl w:val="3"/>
          <w:numId w:val="28"/>
        </w:numPr>
        <w:spacing w:after="0"/>
        <w:ind w:left="1440" w:hanging="360"/>
        <w:jc w:val="both"/>
        <w:rPr>
          <w:rFonts w:cstheme="minorHAnsi"/>
          <w:sz w:val="24"/>
          <w:szCs w:val="24"/>
        </w:rPr>
      </w:pPr>
      <w:r w:rsidRPr="00883A71">
        <w:rPr>
          <w:rFonts w:cstheme="minorHAnsi"/>
          <w:b/>
          <w:sz w:val="24"/>
          <w:szCs w:val="24"/>
        </w:rPr>
        <w:t>Investigator-Initiated</w:t>
      </w:r>
      <w:r w:rsidRPr="00883A71">
        <w:rPr>
          <w:rFonts w:cstheme="minorHAnsi"/>
          <w:sz w:val="24"/>
          <w:szCs w:val="24"/>
        </w:rPr>
        <w:t>:  An investigator or research coordinator may request an on-site review to assist in keeping records and procedures in compliance with federal regulations and institutional policies or to prepare for an external audit by a sponsor or federal agency.</w:t>
      </w:r>
    </w:p>
    <w:p w14:paraId="0496DAE4" w14:textId="77777777" w:rsidR="00883A71" w:rsidRPr="00883A71" w:rsidRDefault="00883A71" w:rsidP="00883A71">
      <w:pPr>
        <w:numPr>
          <w:ilvl w:val="3"/>
          <w:numId w:val="28"/>
        </w:numPr>
        <w:spacing w:after="0"/>
        <w:ind w:left="1440" w:hanging="360"/>
        <w:jc w:val="both"/>
        <w:rPr>
          <w:rFonts w:cstheme="minorHAnsi"/>
          <w:sz w:val="24"/>
          <w:szCs w:val="24"/>
        </w:rPr>
      </w:pPr>
      <w:r w:rsidRPr="00883A71">
        <w:rPr>
          <w:rFonts w:cstheme="minorHAnsi"/>
          <w:b/>
          <w:sz w:val="24"/>
          <w:szCs w:val="24"/>
        </w:rPr>
        <w:t>Informed Consent</w:t>
      </w:r>
      <w:r w:rsidRPr="00883A71">
        <w:rPr>
          <w:rFonts w:cstheme="minorHAnsi"/>
          <w:sz w:val="24"/>
          <w:szCs w:val="24"/>
        </w:rPr>
        <w:t xml:space="preserve">:  This audit is intended to support researchers in conducting the informed consent process.  It may include observational assessment of consent interviews, evaluation of the training provided to key study personnel obtaining informed consent, review of the completeness of the process of documenting informed consent, and/or review of </w:t>
      </w:r>
      <w:proofErr w:type="gramStart"/>
      <w:r w:rsidRPr="00883A71">
        <w:rPr>
          <w:rFonts w:cstheme="minorHAnsi"/>
          <w:sz w:val="24"/>
          <w:szCs w:val="24"/>
        </w:rPr>
        <w:t>manner in which</w:t>
      </w:r>
      <w:proofErr w:type="gramEnd"/>
      <w:r w:rsidRPr="00883A71">
        <w:rPr>
          <w:rFonts w:cstheme="minorHAnsi"/>
          <w:sz w:val="24"/>
          <w:szCs w:val="24"/>
        </w:rPr>
        <w:t xml:space="preserve"> informed consent documents are stored.</w:t>
      </w:r>
    </w:p>
    <w:p w14:paraId="2A580C43" w14:textId="77777777" w:rsidR="00883A71" w:rsidRPr="00883A71" w:rsidRDefault="00883A71" w:rsidP="00883A71">
      <w:pPr>
        <w:spacing w:after="0"/>
        <w:ind w:left="720"/>
        <w:jc w:val="both"/>
        <w:rPr>
          <w:rFonts w:cstheme="minorHAnsi"/>
          <w:sz w:val="24"/>
          <w:szCs w:val="24"/>
        </w:rPr>
      </w:pPr>
    </w:p>
    <w:p w14:paraId="0EDB247E" w14:textId="77777777" w:rsidR="00883A71" w:rsidRPr="00883A71" w:rsidRDefault="00883A71" w:rsidP="00883A71">
      <w:pPr>
        <w:numPr>
          <w:ilvl w:val="2"/>
          <w:numId w:val="28"/>
        </w:numPr>
        <w:spacing w:after="0"/>
        <w:jc w:val="both"/>
        <w:rPr>
          <w:rFonts w:cstheme="minorHAnsi"/>
          <w:sz w:val="24"/>
          <w:szCs w:val="24"/>
        </w:rPr>
      </w:pPr>
      <w:r w:rsidRPr="00883A71">
        <w:rPr>
          <w:rFonts w:cstheme="minorHAnsi"/>
          <w:sz w:val="24"/>
          <w:szCs w:val="24"/>
        </w:rPr>
        <w:t>Prior to initiation of an audit, the investigator will be notified by the IRB Compliance Advisor or designee via project correspondence in iMedRIS and/or email regarding the type of audit planned.</w:t>
      </w:r>
    </w:p>
    <w:p w14:paraId="0813A82B" w14:textId="77777777" w:rsidR="00883A71" w:rsidRPr="00883A71" w:rsidRDefault="00883A71" w:rsidP="00883A71">
      <w:pPr>
        <w:spacing w:after="0"/>
        <w:ind w:left="720"/>
        <w:jc w:val="both"/>
        <w:rPr>
          <w:rFonts w:cstheme="minorHAnsi"/>
          <w:sz w:val="24"/>
          <w:szCs w:val="24"/>
        </w:rPr>
      </w:pPr>
    </w:p>
    <w:p w14:paraId="75271FCB" w14:textId="77777777" w:rsidR="00883A71" w:rsidRPr="00883A71" w:rsidRDefault="00883A71" w:rsidP="00883A71">
      <w:pPr>
        <w:numPr>
          <w:ilvl w:val="2"/>
          <w:numId w:val="28"/>
        </w:numPr>
        <w:spacing w:after="0"/>
        <w:jc w:val="both"/>
        <w:rPr>
          <w:rFonts w:cstheme="minorHAnsi"/>
          <w:sz w:val="24"/>
          <w:szCs w:val="24"/>
        </w:rPr>
      </w:pPr>
      <w:r w:rsidRPr="00883A71">
        <w:rPr>
          <w:rFonts w:cstheme="minorHAnsi"/>
          <w:sz w:val="24"/>
          <w:szCs w:val="24"/>
        </w:rPr>
        <w:t>The correspondence will instruct the principal investigator (PI) to submit a completed Pre-Audit Form via iMedRIS within two weeks of the request for an audit.  However, if the audit is for-cause, the form must be submitted within one week.</w:t>
      </w:r>
    </w:p>
    <w:p w14:paraId="78FBB0B5" w14:textId="77777777" w:rsidR="00883A71" w:rsidRPr="00883A71" w:rsidRDefault="00883A71" w:rsidP="00883A71">
      <w:pPr>
        <w:spacing w:after="0"/>
        <w:ind w:left="720"/>
        <w:jc w:val="both"/>
        <w:rPr>
          <w:rFonts w:cstheme="minorHAnsi"/>
          <w:sz w:val="24"/>
          <w:szCs w:val="24"/>
        </w:rPr>
      </w:pPr>
    </w:p>
    <w:p w14:paraId="6AB6FF05" w14:textId="77777777" w:rsidR="00883A71" w:rsidRPr="00883A71" w:rsidRDefault="00883A71" w:rsidP="00883A71">
      <w:pPr>
        <w:numPr>
          <w:ilvl w:val="2"/>
          <w:numId w:val="28"/>
        </w:numPr>
        <w:spacing w:after="0"/>
        <w:jc w:val="both"/>
        <w:rPr>
          <w:rFonts w:cstheme="minorHAnsi"/>
          <w:sz w:val="24"/>
          <w:szCs w:val="24"/>
        </w:rPr>
      </w:pPr>
      <w:r w:rsidRPr="00883A71">
        <w:rPr>
          <w:rFonts w:cstheme="minorHAnsi"/>
          <w:sz w:val="24"/>
          <w:szCs w:val="24"/>
        </w:rPr>
        <w:t>Failure to submit a completed Pre-Audit Form within the requested time frame will result in a second correspondence request copied to the chair of the department and/or to research administration at the hospital/institution.</w:t>
      </w:r>
    </w:p>
    <w:p w14:paraId="096258FB" w14:textId="77777777" w:rsidR="00883A71" w:rsidRPr="00883A71" w:rsidRDefault="00883A71" w:rsidP="00883A71">
      <w:pPr>
        <w:spacing w:after="0"/>
        <w:ind w:left="720"/>
        <w:jc w:val="both"/>
        <w:rPr>
          <w:rFonts w:cstheme="minorHAnsi"/>
          <w:sz w:val="24"/>
          <w:szCs w:val="24"/>
        </w:rPr>
      </w:pPr>
    </w:p>
    <w:p w14:paraId="1CFC59D2" w14:textId="77777777" w:rsidR="00883A71" w:rsidRPr="00883A71" w:rsidRDefault="00883A71" w:rsidP="00883A71">
      <w:pPr>
        <w:numPr>
          <w:ilvl w:val="1"/>
          <w:numId w:val="36"/>
        </w:numPr>
        <w:spacing w:after="0"/>
        <w:jc w:val="both"/>
        <w:rPr>
          <w:rFonts w:cstheme="minorHAnsi"/>
          <w:b/>
          <w:bCs/>
          <w:sz w:val="24"/>
          <w:szCs w:val="24"/>
          <w:u w:val="single"/>
        </w:rPr>
      </w:pPr>
      <w:r w:rsidRPr="00883A71">
        <w:rPr>
          <w:rFonts w:cstheme="minorHAnsi"/>
          <w:b/>
          <w:bCs/>
          <w:sz w:val="24"/>
          <w:szCs w:val="24"/>
          <w:u w:val="single"/>
        </w:rPr>
        <w:t>Elements of the Audit Review</w:t>
      </w:r>
    </w:p>
    <w:p w14:paraId="180E8F74" w14:textId="77777777" w:rsidR="00883A71" w:rsidRPr="00883A71" w:rsidRDefault="00883A71" w:rsidP="00883A71">
      <w:pPr>
        <w:spacing w:after="0"/>
        <w:ind w:left="720"/>
        <w:jc w:val="both"/>
        <w:rPr>
          <w:rFonts w:cstheme="minorHAnsi"/>
          <w:sz w:val="24"/>
          <w:szCs w:val="24"/>
        </w:rPr>
      </w:pPr>
    </w:p>
    <w:p w14:paraId="01A21788" w14:textId="77777777" w:rsidR="00883A71" w:rsidRPr="00883A71" w:rsidRDefault="00883A71" w:rsidP="00883A71">
      <w:pPr>
        <w:numPr>
          <w:ilvl w:val="2"/>
          <w:numId w:val="29"/>
        </w:numPr>
        <w:spacing w:after="0"/>
        <w:jc w:val="both"/>
        <w:rPr>
          <w:rFonts w:cstheme="minorHAnsi"/>
          <w:sz w:val="24"/>
          <w:szCs w:val="24"/>
        </w:rPr>
      </w:pPr>
      <w:r w:rsidRPr="00883A71">
        <w:rPr>
          <w:rFonts w:cstheme="minorHAnsi"/>
          <w:sz w:val="24"/>
          <w:szCs w:val="24"/>
        </w:rPr>
        <w:t>Before the scheduled audit, the IRB Compliance Advisor will review the IRB study file and all documentation related to the study including, but not limited to, the following items:</w:t>
      </w:r>
    </w:p>
    <w:p w14:paraId="426D6D56"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 xml:space="preserve">Pre-Audit Form submitted by the investigator to the IRB via </w:t>
      </w:r>
      <w:proofErr w:type="gramStart"/>
      <w:r w:rsidRPr="00883A71">
        <w:rPr>
          <w:rFonts w:cstheme="minorHAnsi"/>
          <w:sz w:val="24"/>
          <w:szCs w:val="24"/>
        </w:rPr>
        <w:t>iMedRIS;</w:t>
      </w:r>
      <w:proofErr w:type="gramEnd"/>
    </w:p>
    <w:p w14:paraId="7B08472B"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lastRenderedPageBreak/>
        <w:t xml:space="preserve">IRB Form 1 </w:t>
      </w:r>
      <w:proofErr w:type="gramStart"/>
      <w:r w:rsidRPr="00883A71">
        <w:rPr>
          <w:rFonts w:cstheme="minorHAnsi"/>
          <w:sz w:val="24"/>
          <w:szCs w:val="24"/>
        </w:rPr>
        <w:t>Application;</w:t>
      </w:r>
      <w:proofErr w:type="gramEnd"/>
    </w:p>
    <w:p w14:paraId="079F3A81"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Grant application (if applicable</w:t>
      </w:r>
      <w:proofErr w:type="gramStart"/>
      <w:r w:rsidRPr="00883A71">
        <w:rPr>
          <w:rFonts w:cstheme="minorHAnsi"/>
          <w:sz w:val="24"/>
          <w:szCs w:val="24"/>
        </w:rPr>
        <w:t>);</w:t>
      </w:r>
      <w:proofErr w:type="gramEnd"/>
    </w:p>
    <w:p w14:paraId="02942056"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Sponsor protocol (if applicable</w:t>
      </w:r>
      <w:proofErr w:type="gramStart"/>
      <w:r w:rsidRPr="00883A71">
        <w:rPr>
          <w:rFonts w:cstheme="minorHAnsi"/>
          <w:sz w:val="24"/>
          <w:szCs w:val="24"/>
        </w:rPr>
        <w:t>);</w:t>
      </w:r>
      <w:proofErr w:type="gramEnd"/>
    </w:p>
    <w:p w14:paraId="07A942EF"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 xml:space="preserve">Investigator’s brochure(s) and/or package </w:t>
      </w:r>
      <w:proofErr w:type="gramStart"/>
      <w:r w:rsidRPr="00883A71">
        <w:rPr>
          <w:rFonts w:cstheme="minorHAnsi"/>
          <w:sz w:val="24"/>
          <w:szCs w:val="24"/>
        </w:rPr>
        <w:t>inserts;</w:t>
      </w:r>
      <w:proofErr w:type="gramEnd"/>
    </w:p>
    <w:p w14:paraId="03798D71"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Consent form(s</w:t>
      </w:r>
      <w:proofErr w:type="gramStart"/>
      <w:r w:rsidRPr="00883A71">
        <w:rPr>
          <w:rFonts w:cstheme="minorHAnsi"/>
          <w:sz w:val="24"/>
          <w:szCs w:val="24"/>
        </w:rPr>
        <w:t>);</w:t>
      </w:r>
      <w:proofErr w:type="gramEnd"/>
    </w:p>
    <w:p w14:paraId="6933DE83"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Continuation application(s</w:t>
      </w:r>
      <w:proofErr w:type="gramStart"/>
      <w:r w:rsidRPr="00883A71">
        <w:rPr>
          <w:rFonts w:cstheme="minorHAnsi"/>
          <w:sz w:val="24"/>
          <w:szCs w:val="24"/>
        </w:rPr>
        <w:t>);</w:t>
      </w:r>
      <w:proofErr w:type="gramEnd"/>
    </w:p>
    <w:p w14:paraId="05EC3A90"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Amendment/revision request(s</w:t>
      </w:r>
      <w:proofErr w:type="gramStart"/>
      <w:r w:rsidRPr="00883A71">
        <w:rPr>
          <w:rFonts w:cstheme="minorHAnsi"/>
          <w:sz w:val="24"/>
          <w:szCs w:val="24"/>
        </w:rPr>
        <w:t>);</w:t>
      </w:r>
      <w:proofErr w:type="gramEnd"/>
    </w:p>
    <w:p w14:paraId="528F5345"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DMSB/annual report(s</w:t>
      </w:r>
      <w:proofErr w:type="gramStart"/>
      <w:r w:rsidRPr="00883A71">
        <w:rPr>
          <w:rFonts w:cstheme="minorHAnsi"/>
          <w:sz w:val="24"/>
          <w:szCs w:val="24"/>
        </w:rPr>
        <w:t>);</w:t>
      </w:r>
      <w:proofErr w:type="gramEnd"/>
    </w:p>
    <w:p w14:paraId="5F7A574E"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 xml:space="preserve">Advertising/recruitment </w:t>
      </w:r>
      <w:proofErr w:type="gramStart"/>
      <w:r w:rsidRPr="00883A71">
        <w:rPr>
          <w:rFonts w:cstheme="minorHAnsi"/>
          <w:sz w:val="24"/>
          <w:szCs w:val="24"/>
        </w:rPr>
        <w:t>materials;</w:t>
      </w:r>
      <w:proofErr w:type="gramEnd"/>
    </w:p>
    <w:p w14:paraId="737431FC"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 xml:space="preserve">Adverse events and unanticipated </w:t>
      </w:r>
      <w:proofErr w:type="gramStart"/>
      <w:r w:rsidRPr="00883A71">
        <w:rPr>
          <w:rFonts w:cstheme="minorHAnsi"/>
          <w:sz w:val="24"/>
          <w:szCs w:val="24"/>
        </w:rPr>
        <w:t>problems;</w:t>
      </w:r>
      <w:proofErr w:type="gramEnd"/>
    </w:p>
    <w:p w14:paraId="4BAE8AE8"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Protocol deviation(s</w:t>
      </w:r>
      <w:proofErr w:type="gramStart"/>
      <w:r w:rsidRPr="00883A71">
        <w:rPr>
          <w:rFonts w:cstheme="minorHAnsi"/>
          <w:sz w:val="24"/>
          <w:szCs w:val="24"/>
        </w:rPr>
        <w:t>);</w:t>
      </w:r>
      <w:proofErr w:type="gramEnd"/>
    </w:p>
    <w:p w14:paraId="0213B197"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 xml:space="preserve">iMedRIS </w:t>
      </w:r>
      <w:proofErr w:type="gramStart"/>
      <w:r w:rsidRPr="00883A71">
        <w:rPr>
          <w:rFonts w:cstheme="minorHAnsi"/>
          <w:sz w:val="24"/>
          <w:szCs w:val="24"/>
        </w:rPr>
        <w:t>correspondence;</w:t>
      </w:r>
      <w:proofErr w:type="gramEnd"/>
    </w:p>
    <w:p w14:paraId="48909006"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 xml:space="preserve">Documents submitted for IRB </w:t>
      </w:r>
      <w:proofErr w:type="gramStart"/>
      <w:r w:rsidRPr="00883A71">
        <w:rPr>
          <w:rFonts w:cstheme="minorHAnsi"/>
          <w:sz w:val="24"/>
          <w:szCs w:val="24"/>
        </w:rPr>
        <w:t>review;</w:t>
      </w:r>
      <w:proofErr w:type="gramEnd"/>
    </w:p>
    <w:p w14:paraId="6CF2096D"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IRB minutes, and</w:t>
      </w:r>
    </w:p>
    <w:p w14:paraId="1C6083E0" w14:textId="77777777" w:rsidR="00883A71" w:rsidRPr="00883A71" w:rsidRDefault="00883A71" w:rsidP="00883A71">
      <w:pPr>
        <w:numPr>
          <w:ilvl w:val="3"/>
          <w:numId w:val="29"/>
        </w:numPr>
        <w:spacing w:after="0"/>
        <w:jc w:val="both"/>
        <w:rPr>
          <w:rFonts w:cstheme="minorHAnsi"/>
          <w:sz w:val="24"/>
          <w:szCs w:val="24"/>
        </w:rPr>
      </w:pPr>
      <w:r w:rsidRPr="00883A71">
        <w:rPr>
          <w:rFonts w:cstheme="minorHAnsi"/>
          <w:sz w:val="24"/>
          <w:szCs w:val="24"/>
        </w:rPr>
        <w:t>publications related to the IRB-approved study (as appropriate).</w:t>
      </w:r>
    </w:p>
    <w:p w14:paraId="3DAFE3CB" w14:textId="77777777" w:rsidR="00883A71" w:rsidRPr="00883A71" w:rsidRDefault="00883A71" w:rsidP="00883A71">
      <w:pPr>
        <w:spacing w:after="0"/>
        <w:ind w:left="720"/>
        <w:jc w:val="both"/>
        <w:rPr>
          <w:rFonts w:cstheme="minorHAnsi"/>
          <w:sz w:val="24"/>
          <w:szCs w:val="24"/>
        </w:rPr>
      </w:pPr>
    </w:p>
    <w:p w14:paraId="1FC2BE29" w14:textId="77777777" w:rsidR="00883A71" w:rsidRPr="00883A71" w:rsidRDefault="00883A71" w:rsidP="00883A71">
      <w:pPr>
        <w:numPr>
          <w:ilvl w:val="2"/>
          <w:numId w:val="29"/>
        </w:numPr>
        <w:spacing w:after="0"/>
        <w:jc w:val="both"/>
        <w:rPr>
          <w:rFonts w:cstheme="minorHAnsi"/>
          <w:sz w:val="24"/>
          <w:szCs w:val="24"/>
        </w:rPr>
      </w:pPr>
      <w:r w:rsidRPr="00883A71">
        <w:rPr>
          <w:rFonts w:cstheme="minorHAnsi"/>
          <w:sz w:val="24"/>
          <w:szCs w:val="24"/>
        </w:rPr>
        <w:t>A pre-audit interview may be conducted with the investigator or other key research personnel to document the delegation of authority related to the following activities:</w:t>
      </w:r>
    </w:p>
    <w:p w14:paraId="0D05F574"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 xml:space="preserve">Regulatory affairs/IRB </w:t>
      </w:r>
      <w:proofErr w:type="gramStart"/>
      <w:r w:rsidRPr="00883A71">
        <w:rPr>
          <w:rFonts w:cstheme="minorHAnsi"/>
          <w:sz w:val="24"/>
          <w:szCs w:val="24"/>
        </w:rPr>
        <w:t>submissions;</w:t>
      </w:r>
      <w:proofErr w:type="gramEnd"/>
    </w:p>
    <w:p w14:paraId="38A60C5A"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 xml:space="preserve">Obtaining of informed </w:t>
      </w:r>
      <w:proofErr w:type="gramStart"/>
      <w:r w:rsidRPr="00883A71">
        <w:rPr>
          <w:rFonts w:cstheme="minorHAnsi"/>
          <w:sz w:val="24"/>
          <w:szCs w:val="24"/>
        </w:rPr>
        <w:t>consent;</w:t>
      </w:r>
      <w:proofErr w:type="gramEnd"/>
    </w:p>
    <w:p w14:paraId="5534AEC9"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 xml:space="preserve">Recruitment of study </w:t>
      </w:r>
      <w:proofErr w:type="gramStart"/>
      <w:r w:rsidRPr="00883A71">
        <w:rPr>
          <w:rFonts w:cstheme="minorHAnsi"/>
          <w:sz w:val="24"/>
          <w:szCs w:val="24"/>
        </w:rPr>
        <w:t>participants;</w:t>
      </w:r>
      <w:proofErr w:type="gramEnd"/>
    </w:p>
    <w:p w14:paraId="612249E8"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 xml:space="preserve">Reporting of adverse events/protocol </w:t>
      </w:r>
      <w:proofErr w:type="gramStart"/>
      <w:r w:rsidRPr="00883A71">
        <w:rPr>
          <w:rFonts w:cstheme="minorHAnsi"/>
          <w:sz w:val="24"/>
          <w:szCs w:val="24"/>
        </w:rPr>
        <w:t>deviations;</w:t>
      </w:r>
      <w:proofErr w:type="gramEnd"/>
    </w:p>
    <w:p w14:paraId="7B7A30E7"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Reporting of injury or other unforeseen events to the IRB/</w:t>
      </w:r>
      <w:proofErr w:type="gramStart"/>
      <w:r w:rsidRPr="00883A71">
        <w:rPr>
          <w:rFonts w:cstheme="minorHAnsi"/>
          <w:sz w:val="24"/>
          <w:szCs w:val="24"/>
        </w:rPr>
        <w:t>sponsor;</w:t>
      </w:r>
      <w:proofErr w:type="gramEnd"/>
    </w:p>
    <w:p w14:paraId="19B31624"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Maintaining study documentation/</w:t>
      </w:r>
      <w:proofErr w:type="gramStart"/>
      <w:r w:rsidRPr="00883A71">
        <w:rPr>
          <w:rFonts w:cstheme="minorHAnsi"/>
          <w:sz w:val="24"/>
          <w:szCs w:val="24"/>
        </w:rPr>
        <w:t>CRFs;</w:t>
      </w:r>
      <w:proofErr w:type="gramEnd"/>
    </w:p>
    <w:p w14:paraId="06651F40"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 xml:space="preserve">Test article </w:t>
      </w:r>
      <w:proofErr w:type="gramStart"/>
      <w:r w:rsidRPr="00883A71">
        <w:rPr>
          <w:rFonts w:cstheme="minorHAnsi"/>
          <w:sz w:val="24"/>
          <w:szCs w:val="24"/>
        </w:rPr>
        <w:t>accountability;</w:t>
      </w:r>
      <w:proofErr w:type="gramEnd"/>
    </w:p>
    <w:p w14:paraId="706C8841"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Monitoring by the sponsor/CRO; and</w:t>
      </w:r>
    </w:p>
    <w:p w14:paraId="0EB413B0" w14:textId="77777777" w:rsidR="00883A71" w:rsidRPr="00883A71" w:rsidRDefault="00883A71" w:rsidP="00883A71">
      <w:pPr>
        <w:numPr>
          <w:ilvl w:val="3"/>
          <w:numId w:val="30"/>
        </w:numPr>
        <w:spacing w:after="0"/>
        <w:jc w:val="both"/>
        <w:rPr>
          <w:rFonts w:cstheme="minorHAnsi"/>
          <w:sz w:val="24"/>
          <w:szCs w:val="24"/>
        </w:rPr>
      </w:pPr>
      <w:r w:rsidRPr="00883A71">
        <w:rPr>
          <w:rFonts w:cstheme="minorHAnsi"/>
          <w:sz w:val="24"/>
          <w:szCs w:val="24"/>
        </w:rPr>
        <w:t>Verification of continuing review reports.</w:t>
      </w:r>
    </w:p>
    <w:p w14:paraId="2D63F3F9" w14:textId="77777777" w:rsidR="00883A71" w:rsidRPr="00883A71" w:rsidRDefault="00883A71" w:rsidP="00883A71">
      <w:pPr>
        <w:spacing w:after="0"/>
        <w:ind w:left="720"/>
        <w:jc w:val="both"/>
        <w:rPr>
          <w:rFonts w:cstheme="minorHAnsi"/>
          <w:sz w:val="24"/>
          <w:szCs w:val="24"/>
        </w:rPr>
      </w:pPr>
    </w:p>
    <w:p w14:paraId="6E93514D" w14:textId="77777777" w:rsidR="00883A71" w:rsidRPr="00883A71" w:rsidRDefault="00883A71" w:rsidP="00883A71">
      <w:pPr>
        <w:numPr>
          <w:ilvl w:val="2"/>
          <w:numId w:val="29"/>
        </w:numPr>
        <w:spacing w:after="0"/>
        <w:jc w:val="both"/>
        <w:rPr>
          <w:rFonts w:cstheme="minorHAnsi"/>
          <w:sz w:val="24"/>
          <w:szCs w:val="24"/>
        </w:rPr>
      </w:pPr>
      <w:r w:rsidRPr="00883A71">
        <w:rPr>
          <w:rFonts w:cstheme="minorHAnsi"/>
          <w:sz w:val="24"/>
          <w:szCs w:val="24"/>
        </w:rPr>
        <w:t>During the audit, the investigator or designee will:</w:t>
      </w:r>
    </w:p>
    <w:p w14:paraId="24A2D981" w14:textId="77777777" w:rsidR="00883A71" w:rsidRPr="00883A71" w:rsidRDefault="00883A71" w:rsidP="00883A71">
      <w:pPr>
        <w:numPr>
          <w:ilvl w:val="3"/>
          <w:numId w:val="31"/>
        </w:numPr>
        <w:spacing w:after="0"/>
        <w:jc w:val="both"/>
        <w:rPr>
          <w:rFonts w:cstheme="minorHAnsi"/>
          <w:sz w:val="24"/>
          <w:szCs w:val="24"/>
        </w:rPr>
      </w:pPr>
      <w:r w:rsidRPr="00883A71">
        <w:rPr>
          <w:rFonts w:cstheme="minorHAnsi"/>
          <w:sz w:val="24"/>
          <w:szCs w:val="24"/>
        </w:rPr>
        <w:t xml:space="preserve">Provide the IRB Compliance Advisor with the study </w:t>
      </w:r>
      <w:proofErr w:type="gramStart"/>
      <w:r w:rsidRPr="00883A71">
        <w:rPr>
          <w:rFonts w:cstheme="minorHAnsi"/>
          <w:sz w:val="24"/>
          <w:szCs w:val="24"/>
        </w:rPr>
        <w:t>files;</w:t>
      </w:r>
      <w:proofErr w:type="gramEnd"/>
    </w:p>
    <w:p w14:paraId="167EFE4F" w14:textId="77777777" w:rsidR="00883A71" w:rsidRPr="00883A71" w:rsidRDefault="00883A71" w:rsidP="00883A71">
      <w:pPr>
        <w:numPr>
          <w:ilvl w:val="3"/>
          <w:numId w:val="31"/>
        </w:numPr>
        <w:spacing w:after="0"/>
        <w:ind w:left="1440" w:hanging="360"/>
        <w:jc w:val="both"/>
        <w:rPr>
          <w:rFonts w:cstheme="minorHAnsi"/>
          <w:sz w:val="24"/>
          <w:szCs w:val="24"/>
        </w:rPr>
      </w:pPr>
      <w:r w:rsidRPr="00883A71">
        <w:rPr>
          <w:rFonts w:cstheme="minorHAnsi"/>
          <w:sz w:val="24"/>
          <w:szCs w:val="24"/>
        </w:rPr>
        <w:t xml:space="preserve">Make available the use of a quiet space for the IRB Compliance Advisor to review the study </w:t>
      </w:r>
      <w:proofErr w:type="gramStart"/>
      <w:r w:rsidRPr="00883A71">
        <w:rPr>
          <w:rFonts w:cstheme="minorHAnsi"/>
          <w:sz w:val="24"/>
          <w:szCs w:val="24"/>
        </w:rPr>
        <w:t>files;</w:t>
      </w:r>
      <w:proofErr w:type="gramEnd"/>
    </w:p>
    <w:p w14:paraId="20EEEB60" w14:textId="77777777" w:rsidR="00883A71" w:rsidRPr="00883A71" w:rsidRDefault="00883A71" w:rsidP="00883A71">
      <w:pPr>
        <w:numPr>
          <w:ilvl w:val="3"/>
          <w:numId w:val="31"/>
        </w:numPr>
        <w:spacing w:after="0"/>
        <w:jc w:val="both"/>
        <w:rPr>
          <w:rFonts w:cstheme="minorHAnsi"/>
          <w:sz w:val="24"/>
          <w:szCs w:val="24"/>
        </w:rPr>
      </w:pPr>
      <w:r w:rsidRPr="00883A71">
        <w:rPr>
          <w:rFonts w:cstheme="minorHAnsi"/>
          <w:sz w:val="24"/>
          <w:szCs w:val="24"/>
        </w:rPr>
        <w:t xml:space="preserve">Provide a list of all study participants to the </w:t>
      </w:r>
      <w:proofErr w:type="gramStart"/>
      <w:r w:rsidRPr="00883A71">
        <w:rPr>
          <w:rFonts w:cstheme="minorHAnsi"/>
          <w:sz w:val="24"/>
          <w:szCs w:val="24"/>
        </w:rPr>
        <w:t>auditor;</w:t>
      </w:r>
      <w:proofErr w:type="gramEnd"/>
    </w:p>
    <w:p w14:paraId="08C89114" w14:textId="77777777" w:rsidR="00883A71" w:rsidRPr="00883A71" w:rsidRDefault="00883A71" w:rsidP="00883A71">
      <w:pPr>
        <w:numPr>
          <w:ilvl w:val="4"/>
          <w:numId w:val="31"/>
        </w:numPr>
        <w:spacing w:after="0"/>
        <w:jc w:val="both"/>
        <w:rPr>
          <w:rFonts w:cstheme="minorHAnsi"/>
          <w:sz w:val="24"/>
          <w:szCs w:val="24"/>
        </w:rPr>
      </w:pPr>
      <w:r w:rsidRPr="00883A71">
        <w:rPr>
          <w:rFonts w:cstheme="minorHAnsi"/>
          <w:sz w:val="24"/>
          <w:szCs w:val="24"/>
        </w:rPr>
        <w:t xml:space="preserve">If the number of subjects enrolled is large, the auditor will select a percentage of the subject population to be audited. Otherwise, all records will be </w:t>
      </w:r>
      <w:proofErr w:type="gramStart"/>
      <w:r w:rsidRPr="00883A71">
        <w:rPr>
          <w:rFonts w:cstheme="minorHAnsi"/>
          <w:sz w:val="24"/>
          <w:szCs w:val="24"/>
        </w:rPr>
        <w:t>reviewed;</w:t>
      </w:r>
      <w:proofErr w:type="gramEnd"/>
    </w:p>
    <w:p w14:paraId="11725F85" w14:textId="77777777" w:rsidR="00883A71" w:rsidRPr="00883A71" w:rsidRDefault="00883A71" w:rsidP="00883A71">
      <w:pPr>
        <w:numPr>
          <w:ilvl w:val="4"/>
          <w:numId w:val="31"/>
        </w:numPr>
        <w:spacing w:after="0"/>
        <w:jc w:val="both"/>
        <w:rPr>
          <w:rFonts w:cstheme="minorHAnsi"/>
          <w:sz w:val="24"/>
          <w:szCs w:val="24"/>
        </w:rPr>
      </w:pPr>
      <w:r w:rsidRPr="00883A71">
        <w:rPr>
          <w:rFonts w:cstheme="minorHAnsi"/>
          <w:sz w:val="24"/>
          <w:szCs w:val="24"/>
        </w:rPr>
        <w:t>In the case of a for-cause audit, the IRB may undertake an audit of the records of all study participants; and</w:t>
      </w:r>
    </w:p>
    <w:p w14:paraId="6BC72E15" w14:textId="77777777" w:rsidR="00883A71" w:rsidRPr="00883A71" w:rsidRDefault="00883A71" w:rsidP="00883A71">
      <w:pPr>
        <w:numPr>
          <w:ilvl w:val="3"/>
          <w:numId w:val="31"/>
        </w:numPr>
        <w:spacing w:after="0"/>
        <w:ind w:left="1440" w:hanging="360"/>
        <w:jc w:val="both"/>
        <w:rPr>
          <w:rFonts w:cstheme="minorHAnsi"/>
          <w:sz w:val="24"/>
          <w:szCs w:val="24"/>
        </w:rPr>
      </w:pPr>
      <w:r w:rsidRPr="00883A71">
        <w:rPr>
          <w:rFonts w:cstheme="minorHAnsi"/>
          <w:sz w:val="24"/>
          <w:szCs w:val="24"/>
        </w:rPr>
        <w:t>The principal investigator or designee who is familiar with the study must be available during the audit to address questions of the IRB Compliance Advisor.</w:t>
      </w:r>
    </w:p>
    <w:p w14:paraId="533FC161" w14:textId="77777777" w:rsidR="00883A71" w:rsidRPr="00883A71" w:rsidRDefault="00883A71" w:rsidP="00883A71">
      <w:pPr>
        <w:spacing w:after="0"/>
        <w:ind w:left="720"/>
        <w:jc w:val="both"/>
        <w:rPr>
          <w:rFonts w:cstheme="minorHAnsi"/>
          <w:sz w:val="24"/>
          <w:szCs w:val="24"/>
        </w:rPr>
      </w:pPr>
    </w:p>
    <w:p w14:paraId="4FEA99DA" w14:textId="77777777" w:rsidR="00883A71" w:rsidRPr="00883A71" w:rsidRDefault="00883A71" w:rsidP="00883A71">
      <w:pPr>
        <w:numPr>
          <w:ilvl w:val="2"/>
          <w:numId w:val="29"/>
        </w:numPr>
        <w:spacing w:after="0"/>
        <w:jc w:val="both"/>
        <w:rPr>
          <w:rFonts w:cstheme="minorHAnsi"/>
          <w:sz w:val="24"/>
          <w:szCs w:val="24"/>
        </w:rPr>
      </w:pPr>
      <w:r w:rsidRPr="00883A71">
        <w:rPr>
          <w:rFonts w:cstheme="minorHAnsi"/>
          <w:sz w:val="24"/>
          <w:szCs w:val="24"/>
        </w:rPr>
        <w:lastRenderedPageBreak/>
        <w:t>The audit may involve numerous components including, but not limited to:</w:t>
      </w:r>
    </w:p>
    <w:p w14:paraId="761D2472" w14:textId="77777777" w:rsidR="00883A71" w:rsidRPr="00883A71" w:rsidRDefault="00883A71" w:rsidP="00883A71">
      <w:pPr>
        <w:numPr>
          <w:ilvl w:val="3"/>
          <w:numId w:val="32"/>
        </w:numPr>
        <w:spacing w:after="0"/>
        <w:ind w:left="1440" w:hanging="360"/>
        <w:jc w:val="both"/>
        <w:rPr>
          <w:rFonts w:cstheme="minorHAnsi"/>
          <w:sz w:val="24"/>
          <w:szCs w:val="24"/>
        </w:rPr>
      </w:pPr>
      <w:r w:rsidRPr="00883A71">
        <w:rPr>
          <w:rFonts w:cstheme="minorHAnsi"/>
          <w:sz w:val="24"/>
          <w:szCs w:val="24"/>
        </w:rPr>
        <w:t xml:space="preserve">Comprehensive review of IRB records, investigator study records (paper and electronic), and medical/dental records of </w:t>
      </w:r>
      <w:proofErr w:type="gramStart"/>
      <w:r w:rsidRPr="00883A71">
        <w:rPr>
          <w:rFonts w:cstheme="minorHAnsi"/>
          <w:sz w:val="24"/>
          <w:szCs w:val="24"/>
        </w:rPr>
        <w:t>subjects;</w:t>
      </w:r>
      <w:proofErr w:type="gramEnd"/>
    </w:p>
    <w:p w14:paraId="570C2AF7" w14:textId="77777777" w:rsidR="00883A71" w:rsidRPr="00883A71" w:rsidRDefault="00883A71" w:rsidP="00883A71">
      <w:pPr>
        <w:numPr>
          <w:ilvl w:val="3"/>
          <w:numId w:val="32"/>
        </w:numPr>
        <w:spacing w:after="0"/>
        <w:jc w:val="both"/>
        <w:rPr>
          <w:rFonts w:cstheme="minorHAnsi"/>
          <w:sz w:val="24"/>
          <w:szCs w:val="24"/>
        </w:rPr>
      </w:pPr>
      <w:r w:rsidRPr="00883A71">
        <w:rPr>
          <w:rFonts w:cstheme="minorHAnsi"/>
          <w:sz w:val="24"/>
          <w:szCs w:val="24"/>
        </w:rPr>
        <w:t>Review of records of individual subjects to determine whether:</w:t>
      </w:r>
    </w:p>
    <w:p w14:paraId="08D921D2" w14:textId="77777777" w:rsidR="00883A71" w:rsidRPr="00883A71" w:rsidRDefault="00883A71" w:rsidP="00883A71">
      <w:pPr>
        <w:numPr>
          <w:ilvl w:val="4"/>
          <w:numId w:val="32"/>
        </w:numPr>
        <w:spacing w:after="0"/>
        <w:jc w:val="both"/>
        <w:rPr>
          <w:rFonts w:cstheme="minorHAnsi"/>
          <w:sz w:val="24"/>
          <w:szCs w:val="24"/>
        </w:rPr>
      </w:pPr>
      <w:r w:rsidRPr="00883A71">
        <w:rPr>
          <w:rFonts w:cstheme="minorHAnsi"/>
          <w:sz w:val="24"/>
          <w:szCs w:val="24"/>
        </w:rPr>
        <w:t xml:space="preserve">Subjects met the inclusion/exclusion </w:t>
      </w:r>
      <w:proofErr w:type="gramStart"/>
      <w:r w:rsidRPr="00883A71">
        <w:rPr>
          <w:rFonts w:cstheme="minorHAnsi"/>
          <w:sz w:val="24"/>
          <w:szCs w:val="24"/>
        </w:rPr>
        <w:t>criteria;</w:t>
      </w:r>
      <w:proofErr w:type="gramEnd"/>
    </w:p>
    <w:p w14:paraId="0CF331D6" w14:textId="77777777" w:rsidR="00883A71" w:rsidRPr="00883A71" w:rsidRDefault="00883A71" w:rsidP="00883A71">
      <w:pPr>
        <w:numPr>
          <w:ilvl w:val="4"/>
          <w:numId w:val="32"/>
        </w:numPr>
        <w:spacing w:after="0"/>
        <w:jc w:val="both"/>
        <w:rPr>
          <w:rFonts w:cstheme="minorHAnsi"/>
          <w:sz w:val="24"/>
          <w:szCs w:val="24"/>
        </w:rPr>
      </w:pPr>
      <w:r w:rsidRPr="00883A71">
        <w:rPr>
          <w:rFonts w:cstheme="minorHAnsi"/>
          <w:sz w:val="24"/>
          <w:szCs w:val="24"/>
        </w:rPr>
        <w:t xml:space="preserve">Study-related procedures are performed according to the IRB application and/or protocol, and are completed according to the study </w:t>
      </w:r>
      <w:proofErr w:type="gramStart"/>
      <w:r w:rsidRPr="00883A71">
        <w:rPr>
          <w:rFonts w:cstheme="minorHAnsi"/>
          <w:sz w:val="24"/>
          <w:szCs w:val="24"/>
        </w:rPr>
        <w:t>timeline;</w:t>
      </w:r>
      <w:proofErr w:type="gramEnd"/>
    </w:p>
    <w:p w14:paraId="68CB8939" w14:textId="77777777" w:rsidR="00883A71" w:rsidRPr="00883A71" w:rsidRDefault="00883A71" w:rsidP="00883A71">
      <w:pPr>
        <w:numPr>
          <w:ilvl w:val="4"/>
          <w:numId w:val="32"/>
        </w:numPr>
        <w:spacing w:after="0"/>
        <w:jc w:val="both"/>
        <w:rPr>
          <w:rFonts w:cstheme="minorHAnsi"/>
          <w:sz w:val="24"/>
          <w:szCs w:val="24"/>
        </w:rPr>
      </w:pPr>
      <w:r w:rsidRPr="00883A71">
        <w:rPr>
          <w:rFonts w:cstheme="minorHAnsi"/>
          <w:sz w:val="24"/>
          <w:szCs w:val="24"/>
        </w:rPr>
        <w:t>Data are recorded and stored securely as described in the IRB application and consent form(s</w:t>
      </w:r>
      <w:proofErr w:type="gramStart"/>
      <w:r w:rsidRPr="00883A71">
        <w:rPr>
          <w:rFonts w:cstheme="minorHAnsi"/>
          <w:sz w:val="24"/>
          <w:szCs w:val="24"/>
        </w:rPr>
        <w:t>);</w:t>
      </w:r>
      <w:proofErr w:type="gramEnd"/>
    </w:p>
    <w:p w14:paraId="635C4F88" w14:textId="77777777" w:rsidR="00883A71" w:rsidRPr="00883A71" w:rsidRDefault="00883A71" w:rsidP="00883A71">
      <w:pPr>
        <w:numPr>
          <w:ilvl w:val="4"/>
          <w:numId w:val="32"/>
        </w:numPr>
        <w:spacing w:after="0"/>
        <w:jc w:val="both"/>
        <w:rPr>
          <w:rFonts w:cstheme="minorHAnsi"/>
          <w:sz w:val="24"/>
          <w:szCs w:val="24"/>
        </w:rPr>
      </w:pPr>
      <w:r w:rsidRPr="00883A71">
        <w:rPr>
          <w:rFonts w:cstheme="minorHAnsi"/>
          <w:sz w:val="24"/>
          <w:szCs w:val="24"/>
        </w:rPr>
        <w:t xml:space="preserve">Adverse events and protocol deviations have been reported according to institutional </w:t>
      </w:r>
      <w:proofErr w:type="gramStart"/>
      <w:r w:rsidRPr="00883A71">
        <w:rPr>
          <w:rFonts w:cstheme="minorHAnsi"/>
          <w:sz w:val="24"/>
          <w:szCs w:val="24"/>
        </w:rPr>
        <w:t>policy;</w:t>
      </w:r>
      <w:proofErr w:type="gramEnd"/>
    </w:p>
    <w:p w14:paraId="67640FF6" w14:textId="77777777" w:rsidR="00883A71" w:rsidRPr="00883A71" w:rsidRDefault="00883A71" w:rsidP="00883A71">
      <w:pPr>
        <w:numPr>
          <w:ilvl w:val="4"/>
          <w:numId w:val="32"/>
        </w:numPr>
        <w:spacing w:after="0"/>
        <w:jc w:val="both"/>
        <w:rPr>
          <w:rFonts w:cstheme="minorHAnsi"/>
          <w:sz w:val="24"/>
          <w:szCs w:val="24"/>
        </w:rPr>
      </w:pPr>
      <w:r w:rsidRPr="00883A71">
        <w:rPr>
          <w:rFonts w:cstheme="minorHAnsi"/>
          <w:sz w:val="24"/>
          <w:szCs w:val="24"/>
        </w:rPr>
        <w:t>Payments were made to subjects as described in the IRB application and consent form(s); and</w:t>
      </w:r>
    </w:p>
    <w:p w14:paraId="04C53E5E" w14:textId="77777777" w:rsidR="00883A71" w:rsidRPr="00883A71" w:rsidRDefault="00883A71" w:rsidP="00883A71">
      <w:pPr>
        <w:numPr>
          <w:ilvl w:val="4"/>
          <w:numId w:val="32"/>
        </w:numPr>
        <w:spacing w:after="0"/>
        <w:jc w:val="both"/>
        <w:rPr>
          <w:rFonts w:cstheme="minorHAnsi"/>
          <w:sz w:val="24"/>
          <w:szCs w:val="24"/>
        </w:rPr>
      </w:pPr>
      <w:r w:rsidRPr="00883A71">
        <w:rPr>
          <w:rFonts w:cstheme="minorHAnsi"/>
          <w:sz w:val="24"/>
          <w:szCs w:val="24"/>
        </w:rPr>
        <w:t>Subject ID numbers are assigned according to protocol and/or IRB application.</w:t>
      </w:r>
    </w:p>
    <w:p w14:paraId="1DF64224" w14:textId="77777777" w:rsidR="00883A71" w:rsidRPr="00883A71" w:rsidRDefault="00883A71" w:rsidP="00883A71">
      <w:pPr>
        <w:numPr>
          <w:ilvl w:val="3"/>
          <w:numId w:val="32"/>
        </w:numPr>
        <w:spacing w:after="0"/>
        <w:ind w:left="1440" w:hanging="360"/>
        <w:jc w:val="both"/>
        <w:rPr>
          <w:rFonts w:cstheme="minorHAnsi"/>
          <w:sz w:val="24"/>
          <w:szCs w:val="24"/>
        </w:rPr>
      </w:pPr>
      <w:r w:rsidRPr="00883A71">
        <w:rPr>
          <w:rFonts w:cstheme="minorHAnsi"/>
          <w:sz w:val="24"/>
          <w:szCs w:val="24"/>
        </w:rPr>
        <w:t xml:space="preserve">Monitoring of ongoing research to ensure adherence of study procedures as described in the most recently approved version of the IRB application, study protocol, and informed consent </w:t>
      </w:r>
      <w:proofErr w:type="gramStart"/>
      <w:r w:rsidRPr="00883A71">
        <w:rPr>
          <w:rFonts w:cstheme="minorHAnsi"/>
          <w:sz w:val="24"/>
          <w:szCs w:val="24"/>
        </w:rPr>
        <w:t>document;</w:t>
      </w:r>
      <w:proofErr w:type="gramEnd"/>
    </w:p>
    <w:p w14:paraId="0B541614" w14:textId="77777777" w:rsidR="00883A71" w:rsidRPr="00883A71" w:rsidRDefault="00883A71" w:rsidP="00883A71">
      <w:pPr>
        <w:numPr>
          <w:ilvl w:val="3"/>
          <w:numId w:val="32"/>
        </w:numPr>
        <w:spacing w:after="0"/>
        <w:jc w:val="both"/>
        <w:rPr>
          <w:rFonts w:cstheme="minorHAnsi"/>
          <w:sz w:val="24"/>
          <w:szCs w:val="24"/>
        </w:rPr>
      </w:pPr>
      <w:r w:rsidRPr="00883A71">
        <w:rPr>
          <w:rFonts w:cstheme="minorHAnsi"/>
          <w:sz w:val="24"/>
          <w:szCs w:val="24"/>
        </w:rPr>
        <w:t xml:space="preserve">Interviews with investigators, staff, and/or </w:t>
      </w:r>
      <w:proofErr w:type="gramStart"/>
      <w:r w:rsidRPr="00883A71">
        <w:rPr>
          <w:rFonts w:cstheme="minorHAnsi"/>
          <w:sz w:val="24"/>
          <w:szCs w:val="24"/>
        </w:rPr>
        <w:t>subjects;</w:t>
      </w:r>
      <w:proofErr w:type="gramEnd"/>
    </w:p>
    <w:p w14:paraId="33DFBD2E" w14:textId="77777777" w:rsidR="00883A71" w:rsidRPr="00883A71" w:rsidRDefault="00883A71" w:rsidP="00883A71">
      <w:pPr>
        <w:numPr>
          <w:ilvl w:val="3"/>
          <w:numId w:val="32"/>
        </w:numPr>
        <w:spacing w:after="0"/>
        <w:ind w:left="1440" w:hanging="360"/>
        <w:jc w:val="both"/>
        <w:rPr>
          <w:rFonts w:cstheme="minorHAnsi"/>
          <w:sz w:val="24"/>
          <w:szCs w:val="24"/>
        </w:rPr>
      </w:pPr>
      <w:r w:rsidRPr="00883A71">
        <w:rPr>
          <w:rFonts w:cstheme="minorHAnsi"/>
          <w:sz w:val="24"/>
          <w:szCs w:val="24"/>
        </w:rPr>
        <w:t xml:space="preserve">Inventory of specimens and review of associated collection, documentation and storage </w:t>
      </w:r>
      <w:proofErr w:type="gramStart"/>
      <w:r w:rsidRPr="00883A71">
        <w:rPr>
          <w:rFonts w:cstheme="minorHAnsi"/>
          <w:sz w:val="24"/>
          <w:szCs w:val="24"/>
        </w:rPr>
        <w:t>procedures;</w:t>
      </w:r>
      <w:proofErr w:type="gramEnd"/>
    </w:p>
    <w:p w14:paraId="2969653B" w14:textId="77777777" w:rsidR="00883A71" w:rsidRPr="00883A71" w:rsidRDefault="00883A71" w:rsidP="00883A71">
      <w:pPr>
        <w:numPr>
          <w:ilvl w:val="3"/>
          <w:numId w:val="32"/>
        </w:numPr>
        <w:spacing w:after="0"/>
        <w:jc w:val="both"/>
        <w:rPr>
          <w:rFonts w:cstheme="minorHAnsi"/>
          <w:sz w:val="24"/>
          <w:szCs w:val="24"/>
        </w:rPr>
      </w:pPr>
      <w:r w:rsidRPr="00883A71">
        <w:rPr>
          <w:rFonts w:cstheme="minorHAnsi"/>
          <w:sz w:val="24"/>
          <w:szCs w:val="24"/>
        </w:rPr>
        <w:t xml:space="preserve">Review of study medication or device accounting and </w:t>
      </w:r>
      <w:proofErr w:type="gramStart"/>
      <w:r w:rsidRPr="00883A71">
        <w:rPr>
          <w:rFonts w:cstheme="minorHAnsi"/>
          <w:sz w:val="24"/>
          <w:szCs w:val="24"/>
        </w:rPr>
        <w:t>storage;</w:t>
      </w:r>
      <w:proofErr w:type="gramEnd"/>
    </w:p>
    <w:p w14:paraId="4B5D41E7" w14:textId="77777777" w:rsidR="00883A71" w:rsidRPr="00883A71" w:rsidRDefault="00883A71" w:rsidP="00883A71">
      <w:pPr>
        <w:numPr>
          <w:ilvl w:val="3"/>
          <w:numId w:val="32"/>
        </w:numPr>
        <w:spacing w:after="0"/>
        <w:jc w:val="both"/>
        <w:rPr>
          <w:rFonts w:cstheme="minorHAnsi"/>
          <w:sz w:val="24"/>
          <w:szCs w:val="24"/>
        </w:rPr>
      </w:pPr>
      <w:r w:rsidRPr="00883A71">
        <w:rPr>
          <w:rFonts w:cstheme="minorHAnsi"/>
          <w:sz w:val="24"/>
          <w:szCs w:val="24"/>
        </w:rPr>
        <w:t>Review of computer hardware and/or software associated with the research; and</w:t>
      </w:r>
    </w:p>
    <w:p w14:paraId="53B620F8" w14:textId="77777777" w:rsidR="00883A71" w:rsidRPr="00883A71" w:rsidRDefault="00883A71" w:rsidP="00883A71">
      <w:pPr>
        <w:numPr>
          <w:ilvl w:val="3"/>
          <w:numId w:val="32"/>
        </w:numPr>
        <w:spacing w:after="0"/>
        <w:ind w:left="1440" w:hanging="360"/>
        <w:jc w:val="both"/>
        <w:rPr>
          <w:rFonts w:cstheme="minorHAnsi"/>
          <w:sz w:val="24"/>
          <w:szCs w:val="24"/>
        </w:rPr>
      </w:pPr>
      <w:r w:rsidRPr="00883A71">
        <w:rPr>
          <w:rFonts w:cstheme="minorHAnsi"/>
          <w:sz w:val="24"/>
          <w:szCs w:val="24"/>
        </w:rPr>
        <w:t>Surveying key study personnel to determine the training needs of the research team.</w:t>
      </w:r>
    </w:p>
    <w:p w14:paraId="0D1BB312" w14:textId="77777777" w:rsidR="00883A71" w:rsidRPr="00883A71" w:rsidRDefault="00883A71" w:rsidP="00883A71">
      <w:pPr>
        <w:spacing w:after="0"/>
        <w:ind w:left="720"/>
        <w:jc w:val="both"/>
        <w:rPr>
          <w:rFonts w:cstheme="minorHAnsi"/>
          <w:sz w:val="24"/>
          <w:szCs w:val="24"/>
        </w:rPr>
      </w:pPr>
    </w:p>
    <w:p w14:paraId="7AB17F5E" w14:textId="77777777" w:rsidR="00883A71" w:rsidRPr="00883A71" w:rsidRDefault="00883A71" w:rsidP="00883A71">
      <w:pPr>
        <w:numPr>
          <w:ilvl w:val="2"/>
          <w:numId w:val="29"/>
        </w:numPr>
        <w:spacing w:after="0"/>
        <w:jc w:val="both"/>
        <w:rPr>
          <w:rFonts w:cstheme="minorHAnsi"/>
          <w:sz w:val="24"/>
          <w:szCs w:val="24"/>
        </w:rPr>
      </w:pPr>
      <w:r w:rsidRPr="00883A71">
        <w:rPr>
          <w:rFonts w:cstheme="minorHAnsi"/>
          <w:sz w:val="24"/>
          <w:szCs w:val="24"/>
        </w:rPr>
        <w:t>The UTHSC IRB audit form will be used and may be amended by the auditor to capture all required information necessary for the audit.  This audit form will be uploaded to the Audit submission in iMedRIS.</w:t>
      </w:r>
    </w:p>
    <w:p w14:paraId="06704472" w14:textId="77777777" w:rsidR="00883A71" w:rsidRPr="00883A71" w:rsidRDefault="00883A71" w:rsidP="00883A71">
      <w:pPr>
        <w:spacing w:after="0"/>
        <w:ind w:left="720"/>
        <w:jc w:val="both"/>
        <w:rPr>
          <w:rFonts w:cstheme="minorHAnsi"/>
          <w:sz w:val="24"/>
          <w:szCs w:val="24"/>
        </w:rPr>
      </w:pPr>
    </w:p>
    <w:p w14:paraId="1BFE704E" w14:textId="77777777" w:rsidR="00883A71" w:rsidRPr="00883A71" w:rsidRDefault="00883A71" w:rsidP="00883A71">
      <w:pPr>
        <w:numPr>
          <w:ilvl w:val="2"/>
          <w:numId w:val="29"/>
        </w:numPr>
        <w:spacing w:after="0"/>
        <w:jc w:val="both"/>
        <w:rPr>
          <w:rFonts w:cstheme="minorHAnsi"/>
          <w:sz w:val="24"/>
          <w:szCs w:val="24"/>
        </w:rPr>
      </w:pPr>
      <w:r w:rsidRPr="00883A71">
        <w:rPr>
          <w:rFonts w:cstheme="minorHAnsi"/>
          <w:sz w:val="24"/>
          <w:szCs w:val="24"/>
        </w:rPr>
        <w:t>The IRB may engage any outside consultant or expert as necessary to conduct or assist in the audit.</w:t>
      </w:r>
    </w:p>
    <w:p w14:paraId="0B271E3B" w14:textId="77777777" w:rsidR="00883A71" w:rsidRPr="00883A71" w:rsidRDefault="00883A71" w:rsidP="00883A71">
      <w:pPr>
        <w:spacing w:after="0"/>
        <w:ind w:left="720"/>
        <w:jc w:val="both"/>
        <w:rPr>
          <w:rFonts w:cstheme="minorHAnsi"/>
          <w:sz w:val="24"/>
          <w:szCs w:val="24"/>
        </w:rPr>
      </w:pPr>
    </w:p>
    <w:p w14:paraId="76BF7241" w14:textId="77777777" w:rsidR="00883A71" w:rsidRPr="00883A71" w:rsidRDefault="00883A71" w:rsidP="00883A71">
      <w:pPr>
        <w:numPr>
          <w:ilvl w:val="1"/>
          <w:numId w:val="34"/>
        </w:numPr>
        <w:spacing w:after="0"/>
        <w:jc w:val="both"/>
        <w:rPr>
          <w:rFonts w:cstheme="minorHAnsi"/>
          <w:b/>
          <w:bCs/>
          <w:sz w:val="24"/>
          <w:szCs w:val="24"/>
          <w:u w:val="single"/>
        </w:rPr>
      </w:pPr>
      <w:r w:rsidRPr="00883A71">
        <w:rPr>
          <w:rFonts w:cstheme="minorHAnsi"/>
          <w:b/>
          <w:bCs/>
          <w:sz w:val="24"/>
          <w:szCs w:val="24"/>
          <w:u w:val="single"/>
        </w:rPr>
        <w:t>Report of Audit Findings and Follow Up</w:t>
      </w:r>
    </w:p>
    <w:p w14:paraId="298F29FD" w14:textId="77777777" w:rsidR="00883A71" w:rsidRPr="00883A71" w:rsidRDefault="00883A71" w:rsidP="00883A71">
      <w:pPr>
        <w:spacing w:after="0"/>
        <w:ind w:left="720"/>
        <w:jc w:val="both"/>
        <w:rPr>
          <w:rFonts w:cstheme="minorHAnsi"/>
          <w:sz w:val="24"/>
          <w:szCs w:val="24"/>
        </w:rPr>
      </w:pPr>
    </w:p>
    <w:p w14:paraId="744AAAD8" w14:textId="77777777" w:rsidR="00883A71" w:rsidRPr="00883A71" w:rsidRDefault="00883A71" w:rsidP="00883A71">
      <w:pPr>
        <w:numPr>
          <w:ilvl w:val="2"/>
          <w:numId w:val="33"/>
        </w:numPr>
        <w:spacing w:after="0"/>
        <w:jc w:val="both"/>
        <w:rPr>
          <w:rFonts w:cstheme="minorHAnsi"/>
          <w:sz w:val="24"/>
          <w:szCs w:val="24"/>
        </w:rPr>
      </w:pPr>
      <w:r w:rsidRPr="00883A71">
        <w:rPr>
          <w:rFonts w:cstheme="minorHAnsi"/>
          <w:sz w:val="24"/>
          <w:szCs w:val="24"/>
        </w:rPr>
        <w:t>A report of the audit findings will be prepared and submitted to the IRB Director or Associate Director for review and action.</w:t>
      </w:r>
      <w:r w:rsidRPr="00883A71" w:rsidDel="007074BF">
        <w:rPr>
          <w:rFonts w:cstheme="minorHAnsi"/>
          <w:sz w:val="24"/>
          <w:szCs w:val="24"/>
        </w:rPr>
        <w:t xml:space="preserve">  </w:t>
      </w:r>
      <w:r w:rsidRPr="00883A71">
        <w:rPr>
          <w:rFonts w:cstheme="minorHAnsi"/>
          <w:sz w:val="24"/>
          <w:szCs w:val="24"/>
        </w:rPr>
        <w:t xml:space="preserve">The report will provide a summary of the findings, including the identification of areas which need improvement and recommendations regarding necessary corrective actions.  </w:t>
      </w:r>
    </w:p>
    <w:p w14:paraId="6F891BCC" w14:textId="77777777" w:rsidR="00883A71" w:rsidRPr="00883A71" w:rsidRDefault="00883A71" w:rsidP="00883A71">
      <w:pPr>
        <w:spacing w:after="0"/>
        <w:ind w:left="720"/>
        <w:jc w:val="both"/>
        <w:rPr>
          <w:rFonts w:cstheme="minorHAnsi"/>
          <w:sz w:val="24"/>
          <w:szCs w:val="24"/>
        </w:rPr>
      </w:pPr>
    </w:p>
    <w:p w14:paraId="79FC60B6" w14:textId="77777777" w:rsidR="00883A71" w:rsidRPr="00883A71" w:rsidRDefault="00883A71" w:rsidP="00883A71">
      <w:pPr>
        <w:numPr>
          <w:ilvl w:val="2"/>
          <w:numId w:val="33"/>
        </w:numPr>
        <w:spacing w:after="0"/>
        <w:jc w:val="both"/>
        <w:rPr>
          <w:rFonts w:cstheme="minorHAnsi"/>
          <w:sz w:val="24"/>
          <w:szCs w:val="24"/>
        </w:rPr>
      </w:pPr>
      <w:r w:rsidRPr="00883A71">
        <w:rPr>
          <w:rFonts w:cstheme="minorHAnsi"/>
          <w:sz w:val="24"/>
          <w:szCs w:val="24"/>
        </w:rPr>
        <w:t xml:space="preserve">When minor deficiencies in compliance with regulatory and/or local IRB policies and procedures are identified, the principal investigator will be asked to implement </w:t>
      </w:r>
      <w:r w:rsidRPr="00883A71">
        <w:rPr>
          <w:rFonts w:cstheme="minorHAnsi"/>
          <w:sz w:val="24"/>
          <w:szCs w:val="24"/>
        </w:rPr>
        <w:lastRenderedPageBreak/>
        <w:t xml:space="preserve">appropriate corrective actions. A copy of the audit report and a letter outlining the basis of the findings, requests for further explanations, corrective action plans, and/or study revisions will be sent to the principal investigator, study contact(s), and research administrative specialist (if appropriate) via iMedRIS.  The response of the principal investigator will be reviewed by the IRB Compliance Advisor in consultation with the IRB Director or Associate Director to determine whether all outstanding issues have been addressed.  Further communication may occur as necessary until all issues are resolved.  </w:t>
      </w:r>
    </w:p>
    <w:p w14:paraId="62170CD8" w14:textId="77777777" w:rsidR="00883A71" w:rsidRPr="00883A71" w:rsidRDefault="00883A71" w:rsidP="00883A71">
      <w:pPr>
        <w:spacing w:after="0"/>
        <w:ind w:left="720"/>
        <w:jc w:val="both"/>
        <w:rPr>
          <w:rFonts w:cstheme="minorHAnsi"/>
          <w:sz w:val="24"/>
          <w:szCs w:val="24"/>
        </w:rPr>
      </w:pPr>
    </w:p>
    <w:p w14:paraId="29549582" w14:textId="77777777" w:rsidR="00883A71" w:rsidRPr="00883A71" w:rsidRDefault="00883A71" w:rsidP="00883A71">
      <w:pPr>
        <w:numPr>
          <w:ilvl w:val="2"/>
          <w:numId w:val="33"/>
        </w:numPr>
        <w:spacing w:after="0"/>
        <w:jc w:val="both"/>
        <w:rPr>
          <w:rFonts w:cstheme="minorHAnsi"/>
          <w:sz w:val="24"/>
          <w:szCs w:val="24"/>
        </w:rPr>
      </w:pPr>
      <w:r w:rsidRPr="00883A71">
        <w:rPr>
          <w:rFonts w:cstheme="minorHAnsi"/>
          <w:sz w:val="24"/>
          <w:szCs w:val="24"/>
        </w:rPr>
        <w:t>If audit findings indicate serious or continuing non-compliance with federal regulations and/or local IRB policies, the audit report will be reviewed at the next meeting of the full Board and the Board will determine whether suspension or termination of the study is warranted.</w:t>
      </w:r>
    </w:p>
    <w:p w14:paraId="2CF86A4E" w14:textId="77777777" w:rsidR="00883A71" w:rsidRPr="00883A71" w:rsidRDefault="00883A71" w:rsidP="00883A71">
      <w:pPr>
        <w:spacing w:after="0"/>
        <w:ind w:left="720"/>
        <w:jc w:val="both"/>
        <w:rPr>
          <w:rFonts w:cstheme="minorHAnsi"/>
          <w:sz w:val="24"/>
          <w:szCs w:val="24"/>
        </w:rPr>
      </w:pPr>
      <w:r w:rsidRPr="00883A71">
        <w:rPr>
          <w:rFonts w:cstheme="minorHAnsi"/>
          <w:sz w:val="24"/>
          <w:szCs w:val="24"/>
        </w:rPr>
        <w:t xml:space="preserve">  </w:t>
      </w:r>
    </w:p>
    <w:p w14:paraId="5112F027" w14:textId="77777777" w:rsidR="00883A71" w:rsidRPr="00883A71" w:rsidRDefault="00883A71" w:rsidP="00883A71">
      <w:pPr>
        <w:numPr>
          <w:ilvl w:val="2"/>
          <w:numId w:val="33"/>
        </w:numPr>
        <w:spacing w:after="0"/>
        <w:jc w:val="both"/>
        <w:rPr>
          <w:rFonts w:cstheme="minorHAnsi"/>
          <w:sz w:val="24"/>
          <w:szCs w:val="24"/>
        </w:rPr>
      </w:pPr>
      <w:r w:rsidRPr="00883A71">
        <w:rPr>
          <w:rFonts w:cstheme="minorHAnsi"/>
          <w:sz w:val="24"/>
          <w:szCs w:val="24"/>
        </w:rPr>
        <w:t>When problems are identified meriting suspension of a study, potential corrective actions that the Board may endorse include, but are not limited to, any of the following:</w:t>
      </w:r>
    </w:p>
    <w:p w14:paraId="5E93DC63" w14:textId="77777777" w:rsidR="00883A71" w:rsidRPr="00883A71" w:rsidRDefault="00883A71" w:rsidP="00883A71">
      <w:pPr>
        <w:numPr>
          <w:ilvl w:val="3"/>
          <w:numId w:val="35"/>
        </w:numPr>
        <w:spacing w:after="0"/>
        <w:ind w:left="1440" w:hanging="360"/>
        <w:jc w:val="both"/>
        <w:rPr>
          <w:rFonts w:cstheme="minorHAnsi"/>
          <w:sz w:val="24"/>
          <w:szCs w:val="24"/>
        </w:rPr>
      </w:pPr>
      <w:r w:rsidRPr="00883A71">
        <w:rPr>
          <w:rFonts w:cstheme="minorHAnsi"/>
          <w:sz w:val="24"/>
          <w:szCs w:val="24"/>
        </w:rPr>
        <w:t xml:space="preserve">Requiring changes in study procedures or the informed consent process or </w:t>
      </w:r>
      <w:proofErr w:type="gramStart"/>
      <w:r w:rsidRPr="00883A71">
        <w:rPr>
          <w:rFonts w:cstheme="minorHAnsi"/>
          <w:sz w:val="24"/>
          <w:szCs w:val="24"/>
        </w:rPr>
        <w:t>disclosure;</w:t>
      </w:r>
      <w:proofErr w:type="gramEnd"/>
    </w:p>
    <w:p w14:paraId="697AA218" w14:textId="77777777" w:rsidR="00883A71" w:rsidRPr="00883A71" w:rsidRDefault="00883A71" w:rsidP="00883A71">
      <w:pPr>
        <w:numPr>
          <w:ilvl w:val="3"/>
          <w:numId w:val="35"/>
        </w:numPr>
        <w:spacing w:after="0"/>
        <w:ind w:left="1440" w:hanging="360"/>
        <w:jc w:val="both"/>
        <w:rPr>
          <w:rFonts w:cstheme="minorHAnsi"/>
          <w:sz w:val="24"/>
          <w:szCs w:val="24"/>
        </w:rPr>
      </w:pPr>
      <w:r w:rsidRPr="00883A71">
        <w:rPr>
          <w:rFonts w:cstheme="minorHAnsi"/>
          <w:sz w:val="24"/>
          <w:szCs w:val="24"/>
        </w:rPr>
        <w:t xml:space="preserve">Directing the investigator to destroy or surrender data and/or specimens gathered from previously accrued </w:t>
      </w:r>
      <w:proofErr w:type="gramStart"/>
      <w:r w:rsidRPr="00883A71">
        <w:rPr>
          <w:rFonts w:cstheme="minorHAnsi"/>
          <w:sz w:val="24"/>
          <w:szCs w:val="24"/>
        </w:rPr>
        <w:t>subjects;</w:t>
      </w:r>
      <w:proofErr w:type="gramEnd"/>
    </w:p>
    <w:p w14:paraId="20A974A6" w14:textId="77777777" w:rsidR="00883A71" w:rsidRPr="00883A71" w:rsidRDefault="00883A71" w:rsidP="00883A71">
      <w:pPr>
        <w:numPr>
          <w:ilvl w:val="3"/>
          <w:numId w:val="35"/>
        </w:numPr>
        <w:spacing w:after="0"/>
        <w:ind w:left="1440" w:hanging="360"/>
        <w:jc w:val="both"/>
        <w:rPr>
          <w:rFonts w:cstheme="minorHAnsi"/>
          <w:sz w:val="24"/>
          <w:szCs w:val="24"/>
        </w:rPr>
      </w:pPr>
      <w:r w:rsidRPr="00883A71">
        <w:rPr>
          <w:rFonts w:cstheme="minorHAnsi"/>
          <w:sz w:val="24"/>
          <w:szCs w:val="24"/>
        </w:rPr>
        <w:t xml:space="preserve">Requiring more frequent continuing review of the </w:t>
      </w:r>
      <w:proofErr w:type="gramStart"/>
      <w:r w:rsidRPr="00883A71">
        <w:rPr>
          <w:rFonts w:cstheme="minorHAnsi"/>
          <w:sz w:val="24"/>
          <w:szCs w:val="24"/>
        </w:rPr>
        <w:t>study;</w:t>
      </w:r>
      <w:proofErr w:type="gramEnd"/>
    </w:p>
    <w:p w14:paraId="1FECB66F" w14:textId="77777777" w:rsidR="00883A71" w:rsidRPr="00883A71" w:rsidRDefault="00883A71" w:rsidP="00883A71">
      <w:pPr>
        <w:numPr>
          <w:ilvl w:val="3"/>
          <w:numId w:val="35"/>
        </w:numPr>
        <w:spacing w:after="0"/>
        <w:ind w:left="1440" w:hanging="360"/>
        <w:jc w:val="both"/>
        <w:rPr>
          <w:rFonts w:cstheme="minorHAnsi"/>
          <w:sz w:val="24"/>
          <w:szCs w:val="24"/>
        </w:rPr>
      </w:pPr>
      <w:r w:rsidRPr="00883A71">
        <w:rPr>
          <w:rFonts w:cstheme="minorHAnsi"/>
          <w:sz w:val="24"/>
          <w:szCs w:val="24"/>
        </w:rPr>
        <w:t xml:space="preserve">Scheduling follow-up audits of the research </w:t>
      </w:r>
      <w:proofErr w:type="gramStart"/>
      <w:r w:rsidRPr="00883A71">
        <w:rPr>
          <w:rFonts w:cstheme="minorHAnsi"/>
          <w:sz w:val="24"/>
          <w:szCs w:val="24"/>
        </w:rPr>
        <w:t>study;</w:t>
      </w:r>
      <w:proofErr w:type="gramEnd"/>
    </w:p>
    <w:p w14:paraId="571F87A8" w14:textId="77777777" w:rsidR="00883A71" w:rsidRPr="00883A71" w:rsidRDefault="00883A71" w:rsidP="00883A71">
      <w:pPr>
        <w:numPr>
          <w:ilvl w:val="3"/>
          <w:numId w:val="35"/>
        </w:numPr>
        <w:spacing w:after="0"/>
        <w:ind w:left="1440" w:hanging="360"/>
        <w:jc w:val="both"/>
        <w:rPr>
          <w:rFonts w:cstheme="minorHAnsi"/>
          <w:sz w:val="24"/>
          <w:szCs w:val="24"/>
        </w:rPr>
      </w:pPr>
      <w:r w:rsidRPr="00883A71">
        <w:rPr>
          <w:rFonts w:cstheme="minorHAnsi"/>
          <w:sz w:val="24"/>
          <w:szCs w:val="24"/>
        </w:rPr>
        <w:t xml:space="preserve">Requiring that the research activity and/or informed consent process be monitored by an individual designated by the </w:t>
      </w:r>
      <w:proofErr w:type="gramStart"/>
      <w:r w:rsidRPr="00883A71">
        <w:rPr>
          <w:rFonts w:cstheme="minorHAnsi"/>
          <w:sz w:val="24"/>
          <w:szCs w:val="24"/>
        </w:rPr>
        <w:t>IRB;</w:t>
      </w:r>
      <w:proofErr w:type="gramEnd"/>
    </w:p>
    <w:p w14:paraId="6FA40EDF" w14:textId="77777777" w:rsidR="00883A71" w:rsidRPr="00883A71" w:rsidRDefault="00883A71" w:rsidP="00883A71">
      <w:pPr>
        <w:numPr>
          <w:ilvl w:val="3"/>
          <w:numId w:val="35"/>
        </w:numPr>
        <w:spacing w:after="0"/>
        <w:ind w:left="1440" w:hanging="360"/>
        <w:jc w:val="both"/>
        <w:rPr>
          <w:rFonts w:cstheme="minorHAnsi"/>
          <w:sz w:val="24"/>
          <w:szCs w:val="24"/>
        </w:rPr>
      </w:pPr>
      <w:r w:rsidRPr="00883A71">
        <w:rPr>
          <w:rFonts w:cstheme="minorHAnsi"/>
          <w:sz w:val="24"/>
          <w:szCs w:val="24"/>
        </w:rPr>
        <w:t>Requiring that the investigator inform previously accrued subjects regarding the identified elements of noncompliance; and</w:t>
      </w:r>
    </w:p>
    <w:p w14:paraId="03DB6EDC" w14:textId="77777777" w:rsidR="00883A71" w:rsidRPr="00883A71" w:rsidRDefault="00883A71" w:rsidP="00883A71">
      <w:pPr>
        <w:numPr>
          <w:ilvl w:val="3"/>
          <w:numId w:val="35"/>
        </w:numPr>
        <w:spacing w:after="0"/>
        <w:ind w:left="1440" w:hanging="360"/>
        <w:jc w:val="both"/>
        <w:rPr>
          <w:rFonts w:cstheme="minorHAnsi"/>
          <w:sz w:val="24"/>
          <w:szCs w:val="24"/>
        </w:rPr>
      </w:pPr>
      <w:r w:rsidRPr="00883A71">
        <w:rPr>
          <w:rFonts w:cstheme="minorHAnsi"/>
          <w:sz w:val="24"/>
          <w:szCs w:val="24"/>
        </w:rPr>
        <w:t xml:space="preserve">Auditing, </w:t>
      </w:r>
      <w:proofErr w:type="gramStart"/>
      <w:r w:rsidRPr="00883A71">
        <w:rPr>
          <w:rFonts w:cstheme="minorHAnsi"/>
          <w:sz w:val="24"/>
          <w:szCs w:val="24"/>
        </w:rPr>
        <w:t>suspension</w:t>
      </w:r>
      <w:proofErr w:type="gramEnd"/>
      <w:r w:rsidRPr="00883A71">
        <w:rPr>
          <w:rFonts w:cstheme="minorHAnsi"/>
          <w:sz w:val="24"/>
          <w:szCs w:val="24"/>
        </w:rPr>
        <w:t xml:space="preserve"> or termination of other research studies conducted by the PI.</w:t>
      </w:r>
    </w:p>
    <w:p w14:paraId="1438AC7D" w14:textId="77777777" w:rsidR="00883A71" w:rsidRPr="00883A71" w:rsidRDefault="00883A71" w:rsidP="00883A71">
      <w:pPr>
        <w:spacing w:after="0"/>
        <w:ind w:left="720"/>
        <w:jc w:val="both"/>
        <w:rPr>
          <w:rFonts w:cstheme="minorHAnsi"/>
          <w:sz w:val="24"/>
          <w:szCs w:val="24"/>
        </w:rPr>
      </w:pPr>
      <w:r w:rsidRPr="00883A71">
        <w:rPr>
          <w:rFonts w:cstheme="minorHAnsi"/>
          <w:sz w:val="24"/>
          <w:szCs w:val="24"/>
        </w:rPr>
        <w:t xml:space="preserve">  </w:t>
      </w:r>
    </w:p>
    <w:p w14:paraId="5D3E0496" w14:textId="77777777" w:rsidR="00883A71" w:rsidRPr="00883A71" w:rsidRDefault="00883A71" w:rsidP="00883A71">
      <w:pPr>
        <w:numPr>
          <w:ilvl w:val="2"/>
          <w:numId w:val="33"/>
        </w:numPr>
        <w:spacing w:after="0"/>
        <w:jc w:val="both"/>
        <w:rPr>
          <w:rFonts w:cstheme="minorHAnsi"/>
          <w:sz w:val="24"/>
          <w:szCs w:val="24"/>
        </w:rPr>
      </w:pPr>
      <w:r w:rsidRPr="00883A71">
        <w:rPr>
          <w:rFonts w:cstheme="minorHAnsi"/>
          <w:sz w:val="24"/>
          <w:szCs w:val="24"/>
        </w:rPr>
        <w:t xml:space="preserve">If the Board determines that the study should be suspended or terminated, then the following individuals will be notified in writing within 48 hours of the Board’s determination: PI, UTHSC department chair and/or division chief, sponsor, UTHSC Vice Chancellor for Research (the Signatory Official named in UTHSC’s </w:t>
      </w:r>
      <w:proofErr w:type="spellStart"/>
      <w:r w:rsidRPr="00883A71">
        <w:rPr>
          <w:rFonts w:cstheme="minorHAnsi"/>
          <w:sz w:val="24"/>
          <w:szCs w:val="24"/>
        </w:rPr>
        <w:t>Federalwide</w:t>
      </w:r>
      <w:proofErr w:type="spellEnd"/>
      <w:r w:rsidRPr="00883A71">
        <w:rPr>
          <w:rFonts w:cstheme="minorHAnsi"/>
          <w:sz w:val="24"/>
          <w:szCs w:val="24"/>
        </w:rPr>
        <w:t xml:space="preserve"> Assurance held with OHRP), and appropriate officials of the institution in which the research is being conducted, as well as the appropriate federal department or agency head and OHRP when the research is conducted or supported by any federal agency that has adopted the Common Rule, and/or the Food and Drug Administration (FDA) when the research is FDA-regulated.  The basis for the suspension or termination will be clearly delineated in these communications.</w:t>
      </w:r>
    </w:p>
    <w:p w14:paraId="2F42CBC7" w14:textId="77777777" w:rsidR="00883A71" w:rsidRPr="00883A71" w:rsidRDefault="00883A71" w:rsidP="00883A71">
      <w:pPr>
        <w:spacing w:after="0"/>
        <w:ind w:left="720"/>
        <w:jc w:val="both"/>
        <w:rPr>
          <w:rFonts w:cstheme="minorHAnsi"/>
          <w:sz w:val="24"/>
          <w:szCs w:val="24"/>
        </w:rPr>
      </w:pPr>
    </w:p>
    <w:p w14:paraId="3090709A" w14:textId="44DDE72F" w:rsidR="00883A71" w:rsidRDefault="00883A71" w:rsidP="00883A71">
      <w:pPr>
        <w:spacing w:after="0"/>
        <w:ind w:left="1080"/>
        <w:jc w:val="both"/>
        <w:rPr>
          <w:rFonts w:cstheme="minorHAnsi"/>
          <w:sz w:val="24"/>
          <w:szCs w:val="24"/>
        </w:rPr>
      </w:pPr>
      <w:r w:rsidRPr="00883A71">
        <w:rPr>
          <w:rFonts w:cstheme="minorHAnsi"/>
          <w:sz w:val="24"/>
          <w:szCs w:val="24"/>
        </w:rPr>
        <w:lastRenderedPageBreak/>
        <w:t xml:space="preserve">The principal investigator may appeal the IRB’s decision regarding corrective actions, or suspension or termination of a study.  Appeals will only be considered if a written request is submitted to the IRB Director within ten business days after formal notification of the PI regarding the action of the IRB.  In the correspondence, the PI should identify the action that he or she wishes to </w:t>
      </w:r>
      <w:proofErr w:type="gramStart"/>
      <w:r w:rsidRPr="00883A71">
        <w:rPr>
          <w:rFonts w:cstheme="minorHAnsi"/>
          <w:sz w:val="24"/>
          <w:szCs w:val="24"/>
        </w:rPr>
        <w:t>appeal, and</w:t>
      </w:r>
      <w:proofErr w:type="gramEnd"/>
      <w:r w:rsidRPr="00883A71">
        <w:rPr>
          <w:rFonts w:cstheme="minorHAnsi"/>
          <w:sz w:val="24"/>
          <w:szCs w:val="24"/>
        </w:rPr>
        <w:t xml:space="preserve"> must explain clearly and completely the basis for the appeal.  The IRB Director will confer with the appropriate section chair to determine whether the appeal warrants further consideration.  If so, the appeal will be considered at the next meeting of the section of the Board that approved the original action being appealed.  At the discretion of the IRB Director, the PI may be granted the opportunity to make a presentation to the Board regarding the issue.  However, the presence of a personal attorney representing the PI will not be permitted.  See IRB SOP: Appeal of IRB Decisions.</w:t>
      </w:r>
      <w:r w:rsidRPr="00883A71">
        <w:rPr>
          <w:rFonts w:cstheme="minorHAnsi"/>
          <w:sz w:val="24"/>
          <w:szCs w:val="24"/>
          <w:u w:val="single"/>
        </w:rPr>
        <w:t xml:space="preserve"> </w:t>
      </w:r>
      <w:r w:rsidRPr="00883A71">
        <w:rPr>
          <w:rFonts w:cstheme="minorHAnsi"/>
          <w:sz w:val="24"/>
          <w:szCs w:val="24"/>
        </w:rPr>
        <w:t xml:space="preserve"> </w:t>
      </w:r>
    </w:p>
    <w:p w14:paraId="0FFAC786" w14:textId="77777777" w:rsidR="00883A71" w:rsidRPr="00883A71" w:rsidRDefault="00883A71" w:rsidP="00883A71">
      <w:pPr>
        <w:spacing w:after="0"/>
        <w:ind w:left="1080"/>
        <w:jc w:val="both"/>
        <w:rPr>
          <w:rFonts w:cstheme="minorHAnsi"/>
          <w:sz w:val="24"/>
          <w:szCs w:val="24"/>
        </w:rPr>
      </w:pPr>
    </w:p>
    <w:p w14:paraId="303C9F95" w14:textId="77777777" w:rsidR="00883A71" w:rsidRPr="00883A71" w:rsidRDefault="00883A71" w:rsidP="00883A71">
      <w:pPr>
        <w:numPr>
          <w:ilvl w:val="2"/>
          <w:numId w:val="33"/>
        </w:numPr>
        <w:spacing w:after="0"/>
        <w:jc w:val="both"/>
        <w:rPr>
          <w:rFonts w:cstheme="minorHAnsi"/>
          <w:sz w:val="24"/>
          <w:szCs w:val="24"/>
        </w:rPr>
      </w:pPr>
      <w:r w:rsidRPr="00883A71">
        <w:rPr>
          <w:rFonts w:cstheme="minorHAnsi"/>
          <w:sz w:val="24"/>
          <w:szCs w:val="24"/>
        </w:rPr>
        <w:t xml:space="preserve">Copies of audit reports and correspondence will be filed in the appropriate electronic study files in iMedRIS, as well as in the IRB Compliance Advisor’s electronic files.  In addition, copies can </w:t>
      </w:r>
      <w:proofErr w:type="gramStart"/>
      <w:r w:rsidRPr="00883A71">
        <w:rPr>
          <w:rFonts w:cstheme="minorHAnsi"/>
          <w:sz w:val="24"/>
          <w:szCs w:val="24"/>
        </w:rPr>
        <w:t>be located in</w:t>
      </w:r>
      <w:proofErr w:type="gramEnd"/>
      <w:r w:rsidRPr="00883A71">
        <w:rPr>
          <w:rFonts w:cstheme="minorHAnsi"/>
          <w:sz w:val="24"/>
          <w:szCs w:val="24"/>
        </w:rPr>
        <w:t xml:space="preserve"> the Audit submission, which will be placed on the electronic meeting agenda and sent electronically to Board members before the Board meeting each applicable week when the agenda is finalized.</w:t>
      </w:r>
    </w:p>
    <w:p w14:paraId="0EBFFB3B" w14:textId="77777777" w:rsidR="00883A71" w:rsidRPr="00883A71" w:rsidRDefault="00883A71" w:rsidP="00883A71">
      <w:pPr>
        <w:spacing w:after="0"/>
        <w:ind w:left="720"/>
        <w:jc w:val="both"/>
        <w:rPr>
          <w:rFonts w:cstheme="minorHAnsi"/>
          <w:sz w:val="24"/>
          <w:szCs w:val="24"/>
        </w:rPr>
      </w:pPr>
    </w:p>
    <w:sectPr w:rsidR="00883A71" w:rsidRPr="00883A71" w:rsidSect="00EE61EC">
      <w:footerReference w:type="even"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1AA1" w14:textId="77777777" w:rsidR="008C29CB" w:rsidRDefault="008C29CB" w:rsidP="000B2BAB">
      <w:pPr>
        <w:spacing w:after="0" w:line="240" w:lineRule="auto"/>
      </w:pPr>
      <w:r>
        <w:separator/>
      </w:r>
    </w:p>
  </w:endnote>
  <w:endnote w:type="continuationSeparator" w:id="0">
    <w:p w14:paraId="4FC1B9F8" w14:textId="77777777" w:rsidR="008C29CB" w:rsidRDefault="008C29CB" w:rsidP="000B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릀ׄ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Times New Roman"/>
    <w:charset w:val="00"/>
    <w:family w:val="auto"/>
    <w:pitch w:val="variable"/>
    <w:sig w:usb0="00000001"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D3BB9" w:rsidRDefault="007B2C4E" w:rsidP="000E70D5">
    <w:pPr>
      <w:pStyle w:val="Footer"/>
      <w:framePr w:wrap="around" w:vAnchor="text" w:hAnchor="margin" w:xAlign="right" w:y="1"/>
      <w:rPr>
        <w:rStyle w:val="PageNumber"/>
      </w:rPr>
    </w:pPr>
    <w:r>
      <w:rPr>
        <w:rStyle w:val="PageNumber"/>
      </w:rPr>
      <w:fldChar w:fldCharType="begin"/>
    </w:r>
    <w:r w:rsidR="009D3BB9">
      <w:rPr>
        <w:rStyle w:val="PageNumber"/>
      </w:rPr>
      <w:instrText xml:space="preserve">PAGE  </w:instrText>
    </w:r>
    <w:r>
      <w:rPr>
        <w:rStyle w:val="PageNumber"/>
      </w:rPr>
      <w:fldChar w:fldCharType="end"/>
    </w:r>
  </w:p>
  <w:p w14:paraId="70DF9E56" w14:textId="77777777" w:rsidR="009D3BB9" w:rsidRDefault="009D3BB9" w:rsidP="00126D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08D5" w14:textId="77777777" w:rsidR="009D3BB9" w:rsidRDefault="009D3BB9" w:rsidP="009D3BB9">
    <w:pPr>
      <w:pStyle w:val="Footer"/>
      <w:framePr w:wrap="around" w:vAnchor="text" w:hAnchor="margin" w:xAlign="right" w:y="1"/>
      <w:rPr>
        <w:rStyle w:val="PageNumber"/>
      </w:rPr>
    </w:pPr>
    <w:r>
      <w:rPr>
        <w:rStyle w:val="PageNumber"/>
      </w:rPr>
      <w:t xml:space="preserve">PAGE </w:t>
    </w:r>
    <w:r w:rsidR="007B2C4E">
      <w:rPr>
        <w:rStyle w:val="PageNumber"/>
      </w:rPr>
      <w:fldChar w:fldCharType="begin"/>
    </w:r>
    <w:r>
      <w:rPr>
        <w:rStyle w:val="PageNumber"/>
      </w:rPr>
      <w:instrText xml:space="preserve">PAGE  </w:instrText>
    </w:r>
    <w:r w:rsidR="007B2C4E">
      <w:rPr>
        <w:rStyle w:val="PageNumber"/>
      </w:rPr>
      <w:fldChar w:fldCharType="separate"/>
    </w:r>
    <w:r w:rsidR="00996230">
      <w:rPr>
        <w:rStyle w:val="PageNumber"/>
        <w:noProof/>
      </w:rPr>
      <w:t>4</w:t>
    </w:r>
    <w:r w:rsidR="007B2C4E">
      <w:rPr>
        <w:rStyle w:val="PageNumber"/>
      </w:rPr>
      <w:fldChar w:fldCharType="end"/>
    </w:r>
  </w:p>
  <w:p w14:paraId="4733172A" w14:textId="5CDCB2F4" w:rsidR="009D3BB9" w:rsidRPr="008C2D03" w:rsidRDefault="009D3BB9" w:rsidP="00126D79">
    <w:pPr>
      <w:pStyle w:val="Footer"/>
      <w:pBdr>
        <w:top w:val="single" w:sz="4" w:space="8" w:color="5B9BD5" w:themeColor="accent1"/>
      </w:pBdr>
      <w:tabs>
        <w:tab w:val="clear" w:pos="4680"/>
      </w:tabs>
      <w:spacing w:before="360"/>
      <w:ind w:right="360"/>
      <w:contextualSpacing/>
      <w:rPr>
        <w:rFonts w:ascii="Century Gothic" w:hAnsi="Century Gothic"/>
        <w:b/>
        <w:noProof/>
        <w:color w:val="404040" w:themeColor="text1" w:themeTint="BF"/>
        <w:sz w:val="20"/>
        <w:szCs w:val="20"/>
      </w:rPr>
    </w:pPr>
    <w:r>
      <w:rPr>
        <w:rFonts w:ascii="Century Gothic" w:hAnsi="Century Gothic"/>
        <w:b/>
        <w:noProof/>
        <w:color w:val="404040" w:themeColor="text1" w:themeTint="BF"/>
        <w:sz w:val="20"/>
        <w:szCs w:val="20"/>
      </w:rPr>
      <w:t xml:space="preserve">UTHSC IRB: </w:t>
    </w:r>
    <w:r w:rsidR="00284614" w:rsidRPr="00284614">
      <w:rPr>
        <w:rFonts w:ascii="Century Gothic" w:hAnsi="Century Gothic"/>
        <w:b/>
        <w:noProof/>
        <w:color w:val="404040" w:themeColor="text1" w:themeTint="BF"/>
        <w:sz w:val="20"/>
        <w:szCs w:val="20"/>
      </w:rPr>
      <w:t>Auditing of Research Studies</w:t>
    </w:r>
    <w:r w:rsidRPr="008C2D03">
      <w:rPr>
        <w:rFonts w:ascii="Century Gothic" w:hAnsi="Century Gothic"/>
        <w:b/>
        <w:noProof/>
        <w:color w:val="404040" w:themeColor="text1" w:themeTint="BF"/>
        <w:sz w:val="20"/>
        <w:szCs w:val="20"/>
      </w:rPr>
      <w:tab/>
    </w:r>
  </w:p>
  <w:p w14:paraId="61829076" w14:textId="77777777" w:rsidR="009D3BB9" w:rsidRPr="008C2D03" w:rsidRDefault="009D3BB9">
    <w:pPr>
      <w:pStyle w:val="Footer"/>
      <w:rPr>
        <w:rFonts w:ascii="Century Gothic" w:hAnsi="Century Gothic"/>
        <w:b/>
        <w:color w:val="C45911" w:themeColor="accent2"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7C34" w14:textId="77777777" w:rsidR="008C29CB" w:rsidRDefault="008C29CB" w:rsidP="000B2BAB">
      <w:pPr>
        <w:spacing w:after="0" w:line="240" w:lineRule="auto"/>
      </w:pPr>
      <w:r>
        <w:separator/>
      </w:r>
    </w:p>
  </w:footnote>
  <w:footnote w:type="continuationSeparator" w:id="0">
    <w:p w14:paraId="6C67495D" w14:textId="77777777" w:rsidR="008C29CB" w:rsidRDefault="008C29CB" w:rsidP="000B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B655" w14:textId="062D3885" w:rsidR="009D3BB9" w:rsidRPr="000803B1" w:rsidRDefault="009D3BB9" w:rsidP="000803B1">
    <w:pPr>
      <w:tabs>
        <w:tab w:val="center" w:pos="4680"/>
        <w:tab w:val="right" w:pos="9360"/>
      </w:tabs>
      <w:spacing w:after="0" w:line="240" w:lineRule="auto"/>
      <w:jc w:val="center"/>
      <w:rPr>
        <w:rFonts w:ascii="Century Gothic" w:hAnsi="Century Gothic"/>
        <w:b/>
        <w:sz w:val="28"/>
        <w:szCs w:val="28"/>
      </w:rPr>
    </w:pPr>
    <w:r w:rsidRPr="00094489">
      <w:rPr>
        <w:rFonts w:ascii="Century Gothic" w:hAnsi="Century Gothic"/>
        <w:noProof/>
        <w:sz w:val="18"/>
      </w:rPr>
      <w:drawing>
        <wp:anchor distT="0" distB="0" distL="114300" distR="114300" simplePos="0" relativeHeight="251659264" behindDoc="0" locked="0" layoutInCell="1" allowOverlap="1" wp14:anchorId="091F3CCB" wp14:editId="07777777">
          <wp:simplePos x="0" y="0"/>
          <wp:positionH relativeFrom="column">
            <wp:posOffset>-695325</wp:posOffset>
          </wp:positionH>
          <wp:positionV relativeFrom="paragraph">
            <wp:posOffset>-193675</wp:posOffset>
          </wp:positionV>
          <wp:extent cx="1371600" cy="843280"/>
          <wp:effectExtent l="19050" t="0" r="0" b="0"/>
          <wp:wrapThrough wrapText="bothSides">
            <wp:wrapPolygon edited="0">
              <wp:start x="-300" y="0"/>
              <wp:lineTo x="-300" y="20982"/>
              <wp:lineTo x="21600" y="20982"/>
              <wp:lineTo x="21600" y="0"/>
              <wp:lineTo x="-300" y="0"/>
            </wp:wrapPolygon>
          </wp:wrapThrough>
          <wp:docPr id="4" name="Picture 4" descr="UTHSC CAMPUS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HSC CAMPUS LOGO CENTERED"/>
                  <pic:cNvPicPr>
                    <a:picLocks noChangeAspect="1" noChangeArrowheads="1"/>
                  </pic:cNvPicPr>
                </pic:nvPicPr>
                <pic:blipFill>
                  <a:blip r:embed="rId1"/>
                  <a:stretch>
                    <a:fillRect/>
                  </a:stretch>
                </pic:blipFill>
                <pic:spPr bwMode="auto">
                  <a:xfrm>
                    <a:off x="0" y="0"/>
                    <a:ext cx="1371600" cy="843280"/>
                  </a:xfrm>
                  <a:prstGeom prst="rect">
                    <a:avLst/>
                  </a:prstGeom>
                  <a:noFill/>
                  <a:ln>
                    <a:noFill/>
                  </a:ln>
                </pic:spPr>
              </pic:pic>
            </a:graphicData>
          </a:graphic>
        </wp:anchor>
      </w:drawing>
    </w:r>
    <w:r w:rsidR="00182D75">
      <w:rPr>
        <w:rFonts w:ascii="Avenir Book" w:hAnsi="Avenir Book"/>
        <w:b/>
        <w:noProof/>
        <w:sz w:val="18"/>
      </w:rPr>
      <mc:AlternateContent>
        <mc:Choice Requires="wps">
          <w:drawing>
            <wp:anchor distT="0" distB="0" distL="114300" distR="114300" simplePos="0" relativeHeight="251662336" behindDoc="0" locked="0" layoutInCell="1" allowOverlap="1" wp14:anchorId="42A06FF1" wp14:editId="17D5F539">
              <wp:simplePos x="0" y="0"/>
              <wp:positionH relativeFrom="column">
                <wp:posOffset>5630545</wp:posOffset>
              </wp:positionH>
              <wp:positionV relativeFrom="paragraph">
                <wp:posOffset>-278130</wp:posOffset>
              </wp:positionV>
              <wp:extent cx="953770" cy="9620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770" cy="962025"/>
                      </a:xfrm>
                      <a:prstGeom prst="rect">
                        <a:avLst/>
                      </a:prstGeom>
                      <a:noFill/>
                      <a:ln>
                        <a:noFill/>
                      </a:ln>
                      <a:effectLst/>
                    </wps:spPr>
                    <wps:txbx>
                      <w:txbxContent>
                        <w:p w14:paraId="5968B07C"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Memphis</w:t>
                          </w:r>
                        </w:p>
                        <w:p w14:paraId="43106AC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Knoxville</w:t>
                          </w:r>
                        </w:p>
                        <w:p w14:paraId="67CCA7F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Chattanooga</w:t>
                          </w:r>
                        </w:p>
                        <w:p w14:paraId="6F6F3234" w14:textId="77777777" w:rsidR="009D3BB9" w:rsidRPr="00094489" w:rsidRDefault="009D3BB9" w:rsidP="000803B1">
                          <w:pPr>
                            <w:spacing w:line="360" w:lineRule="auto"/>
                            <w:jc w:val="right"/>
                            <w:rPr>
                              <w:rFonts w:ascii="Century Gothic" w:hAnsi="Century Gothic"/>
                              <w:sz w:val="18"/>
                            </w:rPr>
                          </w:pPr>
                          <w:r w:rsidRPr="00094489">
                            <w:rPr>
                              <w:rFonts w:ascii="Century Gothic" w:hAnsi="Century Gothic"/>
                              <w:sz w:val="18"/>
                            </w:rPr>
                            <w:t>Nashville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A06FF1" id="_x0000_t202" coordsize="21600,21600" o:spt="202" path="m,l,21600r21600,l21600,xe">
              <v:stroke joinstyle="miter"/>
              <v:path gradientshapeok="t" o:connecttype="rect"/>
            </v:shapetype>
            <v:shape id="Text Box 7" o:spid="_x0000_s1026" type="#_x0000_t202" style="position:absolute;left:0;text-align:left;margin-left:443.35pt;margin-top:-21.9pt;width:75.1pt;height:75.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" filled="f" stroked="f">
              <v:textbox>
                <w:txbxContent>
                  <w:p w14:paraId="5968B07C"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Memphis</w:t>
                    </w:r>
                  </w:p>
                  <w:p w14:paraId="43106AC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Knoxville</w:t>
                    </w:r>
                  </w:p>
                  <w:p w14:paraId="67CCA7F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Chattanooga</w:t>
                    </w:r>
                  </w:p>
                  <w:p w14:paraId="6F6F3234" w14:textId="77777777" w:rsidR="009D3BB9" w:rsidRPr="00094489" w:rsidRDefault="009D3BB9" w:rsidP="000803B1">
                    <w:pPr>
                      <w:spacing w:line="360" w:lineRule="auto"/>
                      <w:jc w:val="right"/>
                      <w:rPr>
                        <w:rFonts w:ascii="Century Gothic" w:hAnsi="Century Gothic"/>
                        <w:sz w:val="18"/>
                      </w:rPr>
                    </w:pPr>
                    <w:r w:rsidRPr="00094489">
                      <w:rPr>
                        <w:rFonts w:ascii="Century Gothic" w:hAnsi="Century Gothic"/>
                        <w:sz w:val="18"/>
                      </w:rPr>
                      <w:t>Nashville</w:t>
                    </w:r>
                  </w:p>
                </w:txbxContent>
              </v:textbox>
            </v:shape>
          </w:pict>
        </mc:Fallback>
      </mc:AlternateContent>
    </w:r>
    <w:r w:rsidR="5F494C4C" w:rsidRPr="5F494C4C">
      <w:rPr>
        <w:rFonts w:ascii="Century Gothic" w:hAnsi="Century Gothic"/>
        <w:b/>
        <w:bCs/>
        <w:sz w:val="28"/>
        <w:szCs w:val="28"/>
      </w:rPr>
      <w:t>INSTITUTIONAL REVIEW BOARD</w:t>
    </w:r>
  </w:p>
  <w:p w14:paraId="673571A1" w14:textId="6C3A888B" w:rsidR="009D3BB9" w:rsidRPr="000803B1" w:rsidRDefault="00B337EA" w:rsidP="000803B1">
    <w:pPr>
      <w:tabs>
        <w:tab w:val="center" w:pos="4680"/>
        <w:tab w:val="right" w:pos="9360"/>
      </w:tabs>
      <w:spacing w:after="0" w:line="240" w:lineRule="auto"/>
      <w:jc w:val="center"/>
      <w:rPr>
        <w:rFonts w:ascii="Century Gothic" w:hAnsi="Century Gothic"/>
        <w:b/>
        <w:sz w:val="28"/>
        <w:szCs w:val="28"/>
      </w:rPr>
    </w:pPr>
    <w:bookmarkStart w:id="2" w:name="_Hlk71099697"/>
    <w:r>
      <w:rPr>
        <w:rFonts w:ascii="Century Gothic" w:hAnsi="Century Gothic"/>
        <w:b/>
        <w:sz w:val="28"/>
        <w:szCs w:val="28"/>
      </w:rPr>
      <w:t>Au</w:t>
    </w:r>
    <w:r w:rsidR="00BE526E">
      <w:rPr>
        <w:rFonts w:ascii="Century Gothic" w:hAnsi="Century Gothic"/>
        <w:b/>
        <w:sz w:val="28"/>
        <w:szCs w:val="28"/>
      </w:rPr>
      <w:t>diting of Re</w:t>
    </w:r>
    <w:r>
      <w:rPr>
        <w:rFonts w:ascii="Century Gothic" w:hAnsi="Century Gothic"/>
        <w:b/>
        <w:sz w:val="28"/>
        <w:szCs w:val="28"/>
      </w:rPr>
      <w:t>s</w:t>
    </w:r>
    <w:r w:rsidR="00BE526E">
      <w:rPr>
        <w:rFonts w:ascii="Century Gothic" w:hAnsi="Century Gothic"/>
        <w:b/>
        <w:sz w:val="28"/>
        <w:szCs w:val="28"/>
      </w:rPr>
      <w:t>earch Studies</w:t>
    </w:r>
    <w:bookmarkEnd w:id="2"/>
  </w:p>
  <w:p w14:paraId="5630AD66" w14:textId="77777777" w:rsidR="009D3BB9" w:rsidRPr="000803B1" w:rsidRDefault="009D3BB9" w:rsidP="00080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662"/>
    <w:multiLevelType w:val="hybridMultilevel"/>
    <w:tmpl w:val="F03E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E38EE"/>
    <w:multiLevelType w:val="multilevel"/>
    <w:tmpl w:val="CE1475A0"/>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2"/>
      <w:numFmt w:val="upperLetter"/>
      <w:lvlRestart w:val="0"/>
      <w:lvlText w:val="%2."/>
      <w:lvlJc w:val="left"/>
      <w:pPr>
        <w:ind w:left="720" w:hanging="360"/>
      </w:pPr>
      <w:rPr>
        <w:rFonts w:hint="default"/>
        <w:b/>
        <w:i w:val="0"/>
      </w:rPr>
    </w:lvl>
    <w:lvl w:ilvl="2">
      <w:start w:val="1"/>
      <w:numFmt w:val="decimal"/>
      <w:lvlRestart w:val="0"/>
      <w:lvlText w:val="%3."/>
      <w:lvlJc w:val="left"/>
      <w:pPr>
        <w:ind w:left="1080" w:hanging="360"/>
      </w:pPr>
      <w:rPr>
        <w:rFonts w:ascii="Times New Roman" w:hAnsi="Times New Roman"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77D66F6"/>
    <w:multiLevelType w:val="multilevel"/>
    <w:tmpl w:val="2DA44BCE"/>
    <w:lvl w:ilvl="0">
      <w:start w:val="2"/>
      <w:numFmt w:val="decimal"/>
      <w:lvlText w:val="%1. "/>
      <w:lvlJc w:val="left"/>
      <w:pPr>
        <w:tabs>
          <w:tab w:val="num" w:pos="1440"/>
        </w:tabs>
        <w:ind w:left="1440" w:hanging="720"/>
      </w:pPr>
      <w:rPr>
        <w:rFonts w:ascii="Times New Roman" w:hAnsi="Times New Roman" w:hint="default"/>
        <w:b/>
        <w:i w:val="0"/>
        <w:sz w:val="24"/>
        <w:u w:val="none"/>
      </w:rPr>
    </w:lvl>
    <w:lvl w:ilvl="1">
      <w:start w:val="2"/>
      <w:numFmt w:val="lowerLetter"/>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09F95538"/>
    <w:multiLevelType w:val="hybridMultilevel"/>
    <w:tmpl w:val="061A68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D5E10"/>
    <w:multiLevelType w:val="multilevel"/>
    <w:tmpl w:val="B762B2F8"/>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Roman"/>
      <w:lvlText w:val="%5."/>
      <w:lvlJc w:val="righ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159F31EB"/>
    <w:multiLevelType w:val="hybridMultilevel"/>
    <w:tmpl w:val="1714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513C3"/>
    <w:multiLevelType w:val="multilevel"/>
    <w:tmpl w:val="CE1475A0"/>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2"/>
      <w:numFmt w:val="upperLetter"/>
      <w:lvlRestart w:val="0"/>
      <w:lvlText w:val="%2."/>
      <w:lvlJc w:val="left"/>
      <w:pPr>
        <w:ind w:left="720" w:hanging="360"/>
      </w:pPr>
      <w:rPr>
        <w:rFonts w:hint="default"/>
        <w:b/>
        <w:i w:val="0"/>
      </w:rPr>
    </w:lvl>
    <w:lvl w:ilvl="2">
      <w:start w:val="1"/>
      <w:numFmt w:val="decimal"/>
      <w:lvlRestart w:val="0"/>
      <w:lvlText w:val="%3."/>
      <w:lvlJc w:val="left"/>
      <w:pPr>
        <w:ind w:left="1080" w:hanging="360"/>
      </w:pPr>
      <w:rPr>
        <w:rFonts w:ascii="Times New Roman" w:hAnsi="Times New Roman"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A1E340F"/>
    <w:multiLevelType w:val="multilevel"/>
    <w:tmpl w:val="238C2A28"/>
    <w:lvl w:ilvl="0">
      <w:start w:val="2"/>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1AC07BF9"/>
    <w:multiLevelType w:val="hybridMultilevel"/>
    <w:tmpl w:val="C2CCB9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32FF6"/>
    <w:multiLevelType w:val="hybridMultilevel"/>
    <w:tmpl w:val="664CD1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654250"/>
    <w:multiLevelType w:val="multilevel"/>
    <w:tmpl w:val="CE1475A0"/>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2"/>
      <w:numFmt w:val="upperLetter"/>
      <w:lvlRestart w:val="0"/>
      <w:lvlText w:val="%2."/>
      <w:lvlJc w:val="left"/>
      <w:pPr>
        <w:ind w:left="720" w:hanging="360"/>
      </w:pPr>
      <w:rPr>
        <w:rFonts w:hint="default"/>
        <w:b/>
        <w:i w:val="0"/>
      </w:rPr>
    </w:lvl>
    <w:lvl w:ilvl="2">
      <w:start w:val="1"/>
      <w:numFmt w:val="decimal"/>
      <w:lvlRestart w:val="0"/>
      <w:lvlText w:val="%3."/>
      <w:lvlJc w:val="left"/>
      <w:pPr>
        <w:ind w:left="1080" w:hanging="360"/>
      </w:pPr>
      <w:rPr>
        <w:rFonts w:ascii="Times New Roman" w:hAnsi="Times New Roman"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6C21C07"/>
    <w:multiLevelType w:val="multilevel"/>
    <w:tmpl w:val="5BAA245C"/>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b w:val="0"/>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288946E5"/>
    <w:multiLevelType w:val="hybridMultilevel"/>
    <w:tmpl w:val="A7B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F175E"/>
    <w:multiLevelType w:val="hybridMultilevel"/>
    <w:tmpl w:val="5642A08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454E34"/>
    <w:multiLevelType w:val="hybridMultilevel"/>
    <w:tmpl w:val="E91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62580"/>
    <w:multiLevelType w:val="multilevel"/>
    <w:tmpl w:val="CE1475A0"/>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2"/>
      <w:numFmt w:val="upperLetter"/>
      <w:lvlRestart w:val="0"/>
      <w:lvlText w:val="%2."/>
      <w:lvlJc w:val="left"/>
      <w:pPr>
        <w:ind w:left="720" w:hanging="360"/>
      </w:pPr>
      <w:rPr>
        <w:rFonts w:hint="default"/>
        <w:b/>
        <w:i w:val="0"/>
      </w:rPr>
    </w:lvl>
    <w:lvl w:ilvl="2">
      <w:start w:val="1"/>
      <w:numFmt w:val="decimal"/>
      <w:lvlRestart w:val="0"/>
      <w:lvlText w:val="%3."/>
      <w:lvlJc w:val="left"/>
      <w:pPr>
        <w:ind w:left="1080" w:hanging="360"/>
      </w:pPr>
      <w:rPr>
        <w:rFonts w:ascii="Times New Roman" w:hAnsi="Times New Roman"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96B0ADD"/>
    <w:multiLevelType w:val="multilevel"/>
    <w:tmpl w:val="E222BEFE"/>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2"/>
      <w:numFmt w:val="upperLetter"/>
      <w:lvlRestart w:val="0"/>
      <w:lvlText w:val="%2."/>
      <w:lvlJc w:val="left"/>
      <w:pPr>
        <w:ind w:left="720" w:hanging="360"/>
      </w:pPr>
      <w:rPr>
        <w:rFonts w:hint="default"/>
        <w:b w:val="0"/>
        <w:i w:val="0"/>
        <w:sz w:val="24"/>
        <w:szCs w:val="24"/>
      </w:rPr>
    </w:lvl>
    <w:lvl w:ilvl="2">
      <w:start w:val="1"/>
      <w:numFmt w:val="decimal"/>
      <w:lvlRestart w:val="0"/>
      <w:lvlText w:val="%3."/>
      <w:lvlJc w:val="left"/>
      <w:pPr>
        <w:ind w:left="1080" w:hanging="360"/>
      </w:pPr>
      <w:rPr>
        <w:rFonts w:asciiTheme="minorHAnsi" w:hAnsiTheme="minorHAnsi" w:cstheme="minorHAnsi" w:hint="default"/>
        <w:b w:val="0"/>
        <w:i w:val="0"/>
        <w:color w:val="000000" w:themeColor="text1"/>
        <w:sz w:val="24"/>
      </w:rPr>
    </w:lvl>
    <w:lvl w:ilvl="3">
      <w:start w:val="1"/>
      <w:numFmt w:val="lowerLetter"/>
      <w:lvlRestart w:val="0"/>
      <w:lvlText w:val="%4."/>
      <w:lvlJc w:val="left"/>
      <w:pPr>
        <w:ind w:left="720" w:firstLine="360"/>
      </w:pPr>
      <w:rPr>
        <w:rFonts w:asciiTheme="minorHAnsi" w:hAnsiTheme="minorHAnsi" w:cstheme="minorHAnsi"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D24536B"/>
    <w:multiLevelType w:val="multilevel"/>
    <w:tmpl w:val="CE1475A0"/>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2"/>
      <w:numFmt w:val="upperLetter"/>
      <w:lvlRestart w:val="0"/>
      <w:lvlText w:val="%2."/>
      <w:lvlJc w:val="left"/>
      <w:pPr>
        <w:ind w:left="720" w:hanging="360"/>
      </w:pPr>
      <w:rPr>
        <w:rFonts w:hint="default"/>
        <w:b/>
        <w:i w:val="0"/>
      </w:rPr>
    </w:lvl>
    <w:lvl w:ilvl="2">
      <w:start w:val="1"/>
      <w:numFmt w:val="decimal"/>
      <w:lvlRestart w:val="0"/>
      <w:lvlText w:val="%3."/>
      <w:lvlJc w:val="left"/>
      <w:pPr>
        <w:ind w:left="1080" w:hanging="360"/>
      </w:pPr>
      <w:rPr>
        <w:rFonts w:ascii="Times New Roman" w:hAnsi="Times New Roman"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E161F6D"/>
    <w:multiLevelType w:val="hybridMultilevel"/>
    <w:tmpl w:val="9174B4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6E875E4"/>
    <w:multiLevelType w:val="multilevel"/>
    <w:tmpl w:val="CE1475A0"/>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2"/>
      <w:numFmt w:val="upperLetter"/>
      <w:lvlRestart w:val="0"/>
      <w:lvlText w:val="%2."/>
      <w:lvlJc w:val="left"/>
      <w:pPr>
        <w:ind w:left="720" w:hanging="360"/>
      </w:pPr>
      <w:rPr>
        <w:rFonts w:hint="default"/>
        <w:b/>
        <w:i w:val="0"/>
      </w:rPr>
    </w:lvl>
    <w:lvl w:ilvl="2">
      <w:start w:val="1"/>
      <w:numFmt w:val="decimal"/>
      <w:lvlRestart w:val="0"/>
      <w:lvlText w:val="%3."/>
      <w:lvlJc w:val="left"/>
      <w:pPr>
        <w:ind w:left="1080" w:hanging="360"/>
      </w:pPr>
      <w:rPr>
        <w:rFonts w:ascii="Times New Roman" w:hAnsi="Times New Roman"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0C15447"/>
    <w:multiLevelType w:val="hybridMultilevel"/>
    <w:tmpl w:val="CE4E452E"/>
    <w:lvl w:ilvl="0" w:tplc="04090019">
      <w:start w:val="1"/>
      <w:numFmt w:val="lowerLetter"/>
      <w:lvlText w:val="%1."/>
      <w:lvlJc w:val="left"/>
      <w:pPr>
        <w:ind w:left="-1170" w:hanging="360"/>
      </w:pPr>
    </w:lvl>
    <w:lvl w:ilvl="1" w:tplc="04090019">
      <w:start w:val="1"/>
      <w:numFmt w:val="lowerLetter"/>
      <w:lvlText w:val="%2."/>
      <w:lvlJc w:val="left"/>
      <w:pPr>
        <w:ind w:left="-450" w:hanging="360"/>
      </w:pPr>
    </w:lvl>
    <w:lvl w:ilvl="2" w:tplc="0409001B">
      <w:start w:val="1"/>
      <w:numFmt w:val="lowerRoman"/>
      <w:lvlText w:val="%3."/>
      <w:lvlJc w:val="right"/>
      <w:pPr>
        <w:ind w:left="270" w:hanging="180"/>
      </w:pPr>
    </w:lvl>
    <w:lvl w:ilvl="3" w:tplc="0409000F">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21" w15:restartNumberingAfterBreak="0">
    <w:nsid w:val="55137152"/>
    <w:multiLevelType w:val="hybridMultilevel"/>
    <w:tmpl w:val="24067916"/>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CE3554"/>
    <w:multiLevelType w:val="multilevel"/>
    <w:tmpl w:val="1152EF64"/>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Letter"/>
      <w:lvlText w:val="%2."/>
      <w:lvlJc w:val="lef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3" w15:restartNumberingAfterBreak="0">
    <w:nsid w:val="584760D4"/>
    <w:multiLevelType w:val="multilevel"/>
    <w:tmpl w:val="C7686480"/>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b w:val="0"/>
      </w:rPr>
    </w:lvl>
    <w:lvl w:ilvl="2">
      <w:start w:val="1"/>
      <w:numFmt w:val="lowerRoman"/>
      <w:lvlText w:val="%3."/>
      <w:lvlJc w:val="righ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4" w15:restartNumberingAfterBreak="0">
    <w:nsid w:val="5B4A6560"/>
    <w:multiLevelType w:val="hybridMultilevel"/>
    <w:tmpl w:val="B62071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E8625A"/>
    <w:multiLevelType w:val="hybridMultilevel"/>
    <w:tmpl w:val="2DB4A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B925DA"/>
    <w:multiLevelType w:val="multilevel"/>
    <w:tmpl w:val="25B28FD2"/>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4"/>
      <w:numFmt w:val="upperLetter"/>
      <w:lvlRestart w:val="0"/>
      <w:lvlText w:val="%2."/>
      <w:lvlJc w:val="left"/>
      <w:pPr>
        <w:ind w:left="720" w:hanging="360"/>
      </w:pPr>
      <w:rPr>
        <w:rFonts w:hint="default"/>
        <w:b w:val="0"/>
        <w:i w:val="0"/>
      </w:rPr>
    </w:lvl>
    <w:lvl w:ilvl="2">
      <w:start w:val="1"/>
      <w:numFmt w:val="decimal"/>
      <w:lvlRestart w:val="0"/>
      <w:lvlText w:val="%3."/>
      <w:lvlJc w:val="left"/>
      <w:pPr>
        <w:ind w:left="1080" w:hanging="360"/>
      </w:pPr>
      <w:rPr>
        <w:rFonts w:ascii="Times New Roman" w:hAnsi="Times New Roman"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2E3635D"/>
    <w:multiLevelType w:val="multilevel"/>
    <w:tmpl w:val="7262833A"/>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1"/>
      <w:numFmt w:val="upperLetter"/>
      <w:lvlRestart w:val="0"/>
      <w:lvlText w:val="%2."/>
      <w:lvlJc w:val="left"/>
      <w:pPr>
        <w:ind w:left="720" w:hanging="360"/>
      </w:pPr>
      <w:rPr>
        <w:rFonts w:hint="default"/>
        <w:b w:val="0"/>
        <w:i w:val="0"/>
      </w:rPr>
    </w:lvl>
    <w:lvl w:ilvl="2">
      <w:start w:val="1"/>
      <w:numFmt w:val="decimal"/>
      <w:lvlRestart w:val="0"/>
      <w:lvlText w:val="%3."/>
      <w:lvlJc w:val="left"/>
      <w:pPr>
        <w:ind w:left="1080" w:hanging="360"/>
      </w:pPr>
      <w:rPr>
        <w:rFonts w:asciiTheme="minorHAnsi" w:hAnsiTheme="minorHAnsi" w:cstheme="minorHAnsi"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6C72C50"/>
    <w:multiLevelType w:val="multilevel"/>
    <w:tmpl w:val="77823934"/>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Roman"/>
      <w:lvlText w:val="%2."/>
      <w:lvlJc w:val="righ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 w15:restartNumberingAfterBreak="0">
    <w:nsid w:val="6CA717A7"/>
    <w:multiLevelType w:val="multilevel"/>
    <w:tmpl w:val="11E8705E"/>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Roman"/>
      <w:lvlText w:val="%2."/>
      <w:lvlJc w:val="righ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0" w15:restartNumberingAfterBreak="0">
    <w:nsid w:val="6F294EEE"/>
    <w:multiLevelType w:val="hybridMultilevel"/>
    <w:tmpl w:val="E200D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D50B6"/>
    <w:multiLevelType w:val="multilevel"/>
    <w:tmpl w:val="37725FA2"/>
    <w:lvl w:ilvl="0">
      <w:start w:val="1"/>
      <w:numFmt w:val="decimal"/>
      <w:lvlText w:val="%1."/>
      <w:lvlJc w:val="left"/>
      <w:pPr>
        <w:tabs>
          <w:tab w:val="num" w:pos="810"/>
        </w:tabs>
        <w:ind w:left="81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584096"/>
    <w:multiLevelType w:val="multilevel"/>
    <w:tmpl w:val="8522D092"/>
    <w:lvl w:ilvl="0">
      <w:start w:val="1"/>
      <w:numFmt w:val="upperRoman"/>
      <w:lvlText w:val="%1. "/>
      <w:lvlJc w:val="left"/>
      <w:pPr>
        <w:ind w:left="720" w:hanging="720"/>
      </w:pPr>
      <w:rPr>
        <w:rFonts w:ascii="Times New Roman" w:hAnsi="Times New Roman" w:hint="default"/>
        <w:b/>
        <w:i w:val="0"/>
        <w:color w:val="000000" w:themeColor="text1"/>
        <w:sz w:val="24"/>
        <w:u w:val="none"/>
      </w:rPr>
    </w:lvl>
    <w:lvl w:ilvl="1">
      <w:start w:val="3"/>
      <w:numFmt w:val="upperLetter"/>
      <w:lvlRestart w:val="0"/>
      <w:lvlText w:val="%2."/>
      <w:lvlJc w:val="left"/>
      <w:pPr>
        <w:ind w:left="720" w:hanging="360"/>
      </w:pPr>
      <w:rPr>
        <w:rFonts w:hint="default"/>
        <w:b w:val="0"/>
        <w:i w:val="0"/>
      </w:rPr>
    </w:lvl>
    <w:lvl w:ilvl="2">
      <w:start w:val="1"/>
      <w:numFmt w:val="decimal"/>
      <w:lvlRestart w:val="0"/>
      <w:lvlText w:val="%3."/>
      <w:lvlJc w:val="left"/>
      <w:pPr>
        <w:ind w:left="1080" w:hanging="360"/>
      </w:pPr>
      <w:rPr>
        <w:rFonts w:ascii="Times New Roman" w:hAnsi="Times New Roman" w:hint="default"/>
        <w:b w:val="0"/>
        <w:i w:val="0"/>
        <w:color w:val="000000" w:themeColor="text1"/>
        <w:sz w:val="24"/>
      </w:rPr>
    </w:lvl>
    <w:lvl w:ilvl="3">
      <w:start w:val="1"/>
      <w:numFmt w:val="lowerLetter"/>
      <w:lvlRestart w:val="0"/>
      <w:lvlText w:val="%4."/>
      <w:lvlJc w:val="left"/>
      <w:pPr>
        <w:ind w:left="720" w:firstLine="360"/>
      </w:pPr>
      <w:rPr>
        <w:rFonts w:ascii="Times New Roman" w:hAnsi="Times New Roman" w:hint="default"/>
        <w:b w:val="0"/>
        <w:i w:val="0"/>
        <w:color w:val="000000" w:themeColor="text1"/>
        <w:sz w:val="24"/>
      </w:rPr>
    </w:lvl>
    <w:lvl w:ilvl="4">
      <w:start w:val="1"/>
      <w:numFmt w:val="lowerRoman"/>
      <w:lvlRestart w:val="0"/>
      <w:lvlText w:val="%5."/>
      <w:lvlJc w:val="left"/>
      <w:pPr>
        <w:ind w:left="1800" w:hanging="360"/>
      </w:pPr>
      <w:rPr>
        <w:rFonts w:ascii="Times New Roman" w:hAnsi="Times New Roman" w:hint="default"/>
        <w:b w:val="0"/>
        <w:i w:val="0"/>
        <w:color w:val="000000" w:themeColor="text1"/>
        <w:sz w:val="24"/>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0F93E20"/>
    <w:multiLevelType w:val="hybridMultilevel"/>
    <w:tmpl w:val="2C1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B2255"/>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1890"/>
        </w:tabs>
        <w:ind w:left="189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BA06BA3"/>
    <w:multiLevelType w:val="hybridMultilevel"/>
    <w:tmpl w:val="72803A8E"/>
    <w:lvl w:ilvl="0" w:tplc="3F3090A2">
      <w:start w:val="8"/>
      <w:numFmt w:val="decimal"/>
      <w:lvlText w:val="%1."/>
      <w:lvlJc w:val="left"/>
      <w:pPr>
        <w:tabs>
          <w:tab w:val="num" w:pos="1080"/>
        </w:tabs>
        <w:ind w:left="1080" w:hanging="360"/>
      </w:pPr>
      <w:rPr>
        <w:rFonts w:hint="default"/>
        <w:b/>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76780B08">
      <w:start w:val="1"/>
      <w:numFmt w:val="lowerLetter"/>
      <w:lvlText w:val="%5."/>
      <w:lvlJc w:val="left"/>
      <w:pPr>
        <w:tabs>
          <w:tab w:val="num" w:pos="3960"/>
        </w:tabs>
        <w:ind w:left="3960" w:hanging="360"/>
      </w:pPr>
      <w:rPr>
        <w:b w:val="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start w:val="1"/>
      <w:numFmt w:val="lowerLetter"/>
      <w:lvlText w:val="%8."/>
      <w:lvlJc w:val="left"/>
      <w:pPr>
        <w:tabs>
          <w:tab w:val="num" w:pos="8730"/>
        </w:tabs>
        <w:ind w:left="873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25"/>
  </w:num>
  <w:num w:numId="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14"/>
  </w:num>
  <w:num w:numId="7">
    <w:abstractNumId w:val="0"/>
  </w:num>
  <w:num w:numId="8">
    <w:abstractNumId w:val="33"/>
  </w:num>
  <w:num w:numId="9">
    <w:abstractNumId w:val="12"/>
  </w:num>
  <w:num w:numId="10">
    <w:abstractNumId w:val="30"/>
  </w:num>
  <w:num w:numId="11">
    <w:abstractNumId w:val="5"/>
  </w:num>
  <w:num w:numId="12">
    <w:abstractNumId w:val="34"/>
  </w:num>
  <w:num w:numId="13">
    <w:abstractNumId w:val="3"/>
  </w:num>
  <w:num w:numId="14">
    <w:abstractNumId w:val="8"/>
  </w:num>
  <w:num w:numId="15">
    <w:abstractNumId w:val="22"/>
  </w:num>
  <w:num w:numId="16">
    <w:abstractNumId w:val="29"/>
  </w:num>
  <w:num w:numId="17">
    <w:abstractNumId w:val="28"/>
  </w:num>
  <w:num w:numId="18">
    <w:abstractNumId w:val="11"/>
  </w:num>
  <w:num w:numId="19">
    <w:abstractNumId w:val="7"/>
  </w:num>
  <w:num w:numId="20">
    <w:abstractNumId w:val="35"/>
  </w:num>
  <w:num w:numId="21">
    <w:abstractNumId w:val="2"/>
  </w:num>
  <w:num w:numId="22">
    <w:abstractNumId w:val="4"/>
  </w:num>
  <w:num w:numId="23">
    <w:abstractNumId w:val="21"/>
  </w:num>
  <w:num w:numId="24">
    <w:abstractNumId w:val="13"/>
  </w:num>
  <w:num w:numId="25">
    <w:abstractNumId w:val="9"/>
  </w:num>
  <w:num w:numId="26">
    <w:abstractNumId w:val="23"/>
  </w:num>
  <w:num w:numId="27">
    <w:abstractNumId w:val="27"/>
  </w:num>
  <w:num w:numId="28">
    <w:abstractNumId w:val="16"/>
  </w:num>
  <w:num w:numId="29">
    <w:abstractNumId w:val="17"/>
  </w:num>
  <w:num w:numId="30">
    <w:abstractNumId w:val="6"/>
  </w:num>
  <w:num w:numId="31">
    <w:abstractNumId w:val="1"/>
  </w:num>
  <w:num w:numId="32">
    <w:abstractNumId w:val="19"/>
  </w:num>
  <w:num w:numId="33">
    <w:abstractNumId w:val="10"/>
  </w:num>
  <w:num w:numId="34">
    <w:abstractNumId w:val="26"/>
  </w:num>
  <w:num w:numId="35">
    <w:abstractNumId w:val="1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AB"/>
    <w:rsid w:val="00030FA9"/>
    <w:rsid w:val="00073E21"/>
    <w:rsid w:val="000803B1"/>
    <w:rsid w:val="00086D73"/>
    <w:rsid w:val="00093483"/>
    <w:rsid w:val="000A1ECB"/>
    <w:rsid w:val="000A2465"/>
    <w:rsid w:val="000B2BAB"/>
    <w:rsid w:val="000B6AC9"/>
    <w:rsid w:val="000E70D5"/>
    <w:rsid w:val="00104B53"/>
    <w:rsid w:val="00105AFB"/>
    <w:rsid w:val="001149F1"/>
    <w:rsid w:val="001154FB"/>
    <w:rsid w:val="00124D46"/>
    <w:rsid w:val="00126D79"/>
    <w:rsid w:val="00136A95"/>
    <w:rsid w:val="001436F1"/>
    <w:rsid w:val="00144AFE"/>
    <w:rsid w:val="0016731C"/>
    <w:rsid w:val="001712C5"/>
    <w:rsid w:val="00171F67"/>
    <w:rsid w:val="00182D75"/>
    <w:rsid w:val="00185363"/>
    <w:rsid w:val="00195E09"/>
    <w:rsid w:val="001A5FE5"/>
    <w:rsid w:val="001B5781"/>
    <w:rsid w:val="001C246D"/>
    <w:rsid w:val="001D11BC"/>
    <w:rsid w:val="001D3398"/>
    <w:rsid w:val="001E3F76"/>
    <w:rsid w:val="00250334"/>
    <w:rsid w:val="0025481D"/>
    <w:rsid w:val="002759B3"/>
    <w:rsid w:val="00284614"/>
    <w:rsid w:val="002D41F4"/>
    <w:rsid w:val="002E34E7"/>
    <w:rsid w:val="002F7154"/>
    <w:rsid w:val="00331088"/>
    <w:rsid w:val="00344B5F"/>
    <w:rsid w:val="00361CEB"/>
    <w:rsid w:val="003B08D9"/>
    <w:rsid w:val="003C43AF"/>
    <w:rsid w:val="003F6C24"/>
    <w:rsid w:val="00401C25"/>
    <w:rsid w:val="00414245"/>
    <w:rsid w:val="00426F92"/>
    <w:rsid w:val="004352A8"/>
    <w:rsid w:val="004510A7"/>
    <w:rsid w:val="00451225"/>
    <w:rsid w:val="00466C87"/>
    <w:rsid w:val="0049153E"/>
    <w:rsid w:val="00494502"/>
    <w:rsid w:val="00495FA1"/>
    <w:rsid w:val="004966D0"/>
    <w:rsid w:val="00497608"/>
    <w:rsid w:val="004C18AE"/>
    <w:rsid w:val="00511844"/>
    <w:rsid w:val="00525400"/>
    <w:rsid w:val="005709E5"/>
    <w:rsid w:val="005720A9"/>
    <w:rsid w:val="00584832"/>
    <w:rsid w:val="005916C6"/>
    <w:rsid w:val="0059312B"/>
    <w:rsid w:val="005B5555"/>
    <w:rsid w:val="005C2680"/>
    <w:rsid w:val="005C7C3A"/>
    <w:rsid w:val="00634387"/>
    <w:rsid w:val="006A1B58"/>
    <w:rsid w:val="006E4171"/>
    <w:rsid w:val="007037FF"/>
    <w:rsid w:val="007116AF"/>
    <w:rsid w:val="00722875"/>
    <w:rsid w:val="0074717C"/>
    <w:rsid w:val="00762BFC"/>
    <w:rsid w:val="00781500"/>
    <w:rsid w:val="00790A63"/>
    <w:rsid w:val="00796542"/>
    <w:rsid w:val="007B2C4E"/>
    <w:rsid w:val="007B4FB4"/>
    <w:rsid w:val="007C7B0F"/>
    <w:rsid w:val="007E255B"/>
    <w:rsid w:val="007E6CBF"/>
    <w:rsid w:val="007F7A5B"/>
    <w:rsid w:val="00800641"/>
    <w:rsid w:val="008148A5"/>
    <w:rsid w:val="00854FD1"/>
    <w:rsid w:val="0086694D"/>
    <w:rsid w:val="00872DAF"/>
    <w:rsid w:val="008822CF"/>
    <w:rsid w:val="00883A71"/>
    <w:rsid w:val="00887DE5"/>
    <w:rsid w:val="00892A9A"/>
    <w:rsid w:val="008A10D7"/>
    <w:rsid w:val="008A1C9C"/>
    <w:rsid w:val="008A37DC"/>
    <w:rsid w:val="008C29CB"/>
    <w:rsid w:val="008C2D03"/>
    <w:rsid w:val="00923B9E"/>
    <w:rsid w:val="0093077A"/>
    <w:rsid w:val="00935A6C"/>
    <w:rsid w:val="00944556"/>
    <w:rsid w:val="00961740"/>
    <w:rsid w:val="00966B68"/>
    <w:rsid w:val="0097015F"/>
    <w:rsid w:val="009747EB"/>
    <w:rsid w:val="00996230"/>
    <w:rsid w:val="009D3BB9"/>
    <w:rsid w:val="009F12F8"/>
    <w:rsid w:val="00A10830"/>
    <w:rsid w:val="00A14C27"/>
    <w:rsid w:val="00A5353D"/>
    <w:rsid w:val="00A64C25"/>
    <w:rsid w:val="00A6558D"/>
    <w:rsid w:val="00A65B3A"/>
    <w:rsid w:val="00A71656"/>
    <w:rsid w:val="00A75464"/>
    <w:rsid w:val="00A842EF"/>
    <w:rsid w:val="00A85312"/>
    <w:rsid w:val="00A8583A"/>
    <w:rsid w:val="00A903FF"/>
    <w:rsid w:val="00AB04D0"/>
    <w:rsid w:val="00B2573D"/>
    <w:rsid w:val="00B337EA"/>
    <w:rsid w:val="00B66931"/>
    <w:rsid w:val="00BD1F86"/>
    <w:rsid w:val="00BD4EA3"/>
    <w:rsid w:val="00BE526E"/>
    <w:rsid w:val="00BF5FBB"/>
    <w:rsid w:val="00C244A4"/>
    <w:rsid w:val="00C851E4"/>
    <w:rsid w:val="00CA6B10"/>
    <w:rsid w:val="00CB5743"/>
    <w:rsid w:val="00CD3B07"/>
    <w:rsid w:val="00CD7001"/>
    <w:rsid w:val="00CE15A4"/>
    <w:rsid w:val="00CF4CDB"/>
    <w:rsid w:val="00D30728"/>
    <w:rsid w:val="00D46532"/>
    <w:rsid w:val="00D66728"/>
    <w:rsid w:val="00D729E1"/>
    <w:rsid w:val="00D73530"/>
    <w:rsid w:val="00D7787D"/>
    <w:rsid w:val="00D80DF1"/>
    <w:rsid w:val="00DE1E46"/>
    <w:rsid w:val="00E55CDC"/>
    <w:rsid w:val="00E72791"/>
    <w:rsid w:val="00E90BEC"/>
    <w:rsid w:val="00ED14C9"/>
    <w:rsid w:val="00EE61EC"/>
    <w:rsid w:val="00F05EF3"/>
    <w:rsid w:val="00F06A7F"/>
    <w:rsid w:val="00F1026F"/>
    <w:rsid w:val="00F54AE1"/>
    <w:rsid w:val="00F66131"/>
    <w:rsid w:val="00FA59DF"/>
    <w:rsid w:val="00FB20FE"/>
    <w:rsid w:val="00FB2C44"/>
    <w:rsid w:val="00FD04CC"/>
    <w:rsid w:val="5F49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182C6"/>
  <w15:docId w15:val="{0EBD2DB2-0A4E-43FB-A1C5-2BAA912F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4E"/>
  </w:style>
  <w:style w:type="paragraph" w:styleId="Heading1">
    <w:name w:val="heading 1"/>
    <w:basedOn w:val="Normal"/>
    <w:link w:val="Heading1Char"/>
    <w:uiPriority w:val="9"/>
    <w:qFormat/>
    <w:rsid w:val="00144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BAB"/>
    <w:pPr>
      <w:tabs>
        <w:tab w:val="center" w:pos="4680"/>
        <w:tab w:val="right" w:pos="9360"/>
      </w:tabs>
      <w:spacing w:after="0" w:line="240" w:lineRule="auto"/>
    </w:pPr>
  </w:style>
  <w:style w:type="character" w:customStyle="1" w:styleId="HeaderChar">
    <w:name w:val="Header Char"/>
    <w:basedOn w:val="DefaultParagraphFont"/>
    <w:link w:val="Header"/>
    <w:rsid w:val="000B2BAB"/>
  </w:style>
  <w:style w:type="paragraph" w:styleId="Footer">
    <w:name w:val="footer"/>
    <w:basedOn w:val="Normal"/>
    <w:link w:val="FooterChar"/>
    <w:uiPriority w:val="99"/>
    <w:unhideWhenUsed/>
    <w:qFormat/>
    <w:rsid w:val="000B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AB"/>
  </w:style>
  <w:style w:type="character" w:styleId="Strong">
    <w:name w:val="Strong"/>
    <w:basedOn w:val="DefaultParagraphFont"/>
    <w:uiPriority w:val="22"/>
    <w:qFormat/>
    <w:rsid w:val="000B2BAB"/>
    <w:rPr>
      <w:b/>
      <w:bCs/>
    </w:rPr>
  </w:style>
  <w:style w:type="table" w:styleId="TableGrid">
    <w:name w:val="Table Grid"/>
    <w:basedOn w:val="TableNormal"/>
    <w:uiPriority w:val="59"/>
    <w:rsid w:val="000B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848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55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DC"/>
    <w:rPr>
      <w:rFonts w:ascii="Segoe UI" w:hAnsi="Segoe UI" w:cs="Segoe UI"/>
      <w:sz w:val="18"/>
      <w:szCs w:val="18"/>
    </w:rPr>
  </w:style>
  <w:style w:type="paragraph" w:styleId="ListParagraph">
    <w:name w:val="List Paragraph"/>
    <w:basedOn w:val="Normal"/>
    <w:uiPriority w:val="34"/>
    <w:qFormat/>
    <w:rsid w:val="000B6AC9"/>
    <w:pPr>
      <w:spacing w:after="0" w:line="240" w:lineRule="auto"/>
      <w:ind w:left="720"/>
      <w:contextualSpacing/>
    </w:pPr>
  </w:style>
  <w:style w:type="character" w:styleId="Hyperlink">
    <w:name w:val="Hyperlink"/>
    <w:basedOn w:val="DefaultParagraphFont"/>
    <w:uiPriority w:val="99"/>
    <w:unhideWhenUsed/>
    <w:rsid w:val="000B6AC9"/>
    <w:rPr>
      <w:color w:val="0563C1" w:themeColor="hyperlink"/>
      <w:u w:val="single"/>
    </w:rPr>
  </w:style>
  <w:style w:type="paragraph" w:styleId="NormalWeb">
    <w:name w:val="Normal (Web)"/>
    <w:basedOn w:val="Normal"/>
    <w:uiPriority w:val="99"/>
    <w:unhideWhenUsed/>
    <w:rsid w:val="000B6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87DE5"/>
    <w:rPr>
      <w:color w:val="954F72" w:themeColor="followedHyperlink"/>
      <w:u w:val="single"/>
    </w:rPr>
  </w:style>
  <w:style w:type="character" w:customStyle="1" w:styleId="Heading1Char">
    <w:name w:val="Heading 1 Char"/>
    <w:basedOn w:val="DefaultParagraphFont"/>
    <w:link w:val="Heading1"/>
    <w:uiPriority w:val="9"/>
    <w:rsid w:val="00144AFE"/>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494502"/>
    <w:rPr>
      <w:color w:val="808080"/>
    </w:rPr>
  </w:style>
  <w:style w:type="paragraph" w:styleId="BodyTextIndent2">
    <w:name w:val="Body Text Indent 2"/>
    <w:basedOn w:val="Normal"/>
    <w:link w:val="BodyTextIndent2Char"/>
    <w:rsid w:val="00126D79"/>
    <w:pPr>
      <w:spacing w:after="0" w:line="240" w:lineRule="auto"/>
      <w:ind w:left="144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26D79"/>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126D79"/>
  </w:style>
  <w:style w:type="character" w:styleId="CommentReference">
    <w:name w:val="annotation reference"/>
    <w:basedOn w:val="DefaultParagraphFont"/>
    <w:uiPriority w:val="99"/>
    <w:semiHidden/>
    <w:unhideWhenUsed/>
    <w:rsid w:val="00126D79"/>
    <w:rPr>
      <w:sz w:val="16"/>
      <w:szCs w:val="16"/>
    </w:rPr>
  </w:style>
  <w:style w:type="paragraph" w:styleId="CommentText">
    <w:name w:val="annotation text"/>
    <w:basedOn w:val="Normal"/>
    <w:link w:val="CommentTextChar"/>
    <w:uiPriority w:val="99"/>
    <w:semiHidden/>
    <w:unhideWhenUsed/>
    <w:rsid w:val="00126D79"/>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126D79"/>
    <w:rPr>
      <w:rFonts w:ascii="Times" w:eastAsia="Times" w:hAnsi="Times" w:cs="Times New Roman"/>
      <w:sz w:val="20"/>
      <w:szCs w:val="20"/>
    </w:rPr>
  </w:style>
  <w:style w:type="paragraph" w:customStyle="1" w:styleId="ColorfulList-Accent11">
    <w:name w:val="Colorful List - Accent 11"/>
    <w:basedOn w:val="Normal"/>
    <w:uiPriority w:val="34"/>
    <w:qFormat/>
    <w:rsid w:val="001149F1"/>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90BEC"/>
    <w:rPr>
      <w:color w:val="605E5C"/>
      <w:shd w:val="clear" w:color="auto" w:fill="E1DFDD"/>
    </w:rPr>
  </w:style>
  <w:style w:type="character" w:styleId="UnresolvedMention">
    <w:name w:val="Unresolved Mention"/>
    <w:basedOn w:val="DefaultParagraphFont"/>
    <w:uiPriority w:val="99"/>
    <w:semiHidden/>
    <w:unhideWhenUsed/>
    <w:rsid w:val="00451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6-title45-vol1/pdf/CFR-2016-title45-vol1-part4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da.gov/RegulatoryInformation/Guidances/ucm12642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F0DE7-7BB1-4D79-AD26-03060F88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2183</Words>
  <Characters>12449</Characters>
  <Application>Microsoft Office Word</Application>
  <DocSecurity>0</DocSecurity>
  <Lines>103</Lines>
  <Paragraphs>29</Paragraphs>
  <ScaleCrop>false</ScaleCrop>
  <Company>University of Tennessee</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PROCEDURE {CAPS/BOLD Font=Century Gothic 14}</dc:title>
  <dc:subject>Number – Title {Bold, Font=Century Gothic 14}</dc:subject>
  <dc:creator>Burlison, Melanie Lynn</dc:creator>
  <cp:keywords/>
  <dc:description/>
  <cp:lastModifiedBy>Prachniak, Kim</cp:lastModifiedBy>
  <cp:revision>8</cp:revision>
  <cp:lastPrinted>2016-03-17T21:02:00Z</cp:lastPrinted>
  <dcterms:created xsi:type="dcterms:W3CDTF">2021-05-05T14:24:00Z</dcterms:created>
  <dcterms:modified xsi:type="dcterms:W3CDTF">2021-05-05T15:23:00Z</dcterms:modified>
</cp:coreProperties>
</file>