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2D292C" w14:paraId="0A98B5C2" w14:textId="77777777" w:rsidTr="00276E06">
        <w:tc>
          <w:tcPr>
            <w:tcW w:w="8820" w:type="dxa"/>
            <w:gridSpan w:val="2"/>
          </w:tcPr>
          <w:p w14:paraId="7FB034E0" w14:textId="77777777" w:rsidR="002D292C" w:rsidRPr="006C26A7" w:rsidRDefault="002D292C" w:rsidP="00276E06">
            <w:pPr>
              <w:pStyle w:val="Header"/>
              <w:tabs>
                <w:tab w:val="clear" w:pos="4320"/>
                <w:tab w:val="clear" w:pos="8640"/>
              </w:tabs>
              <w:ind w:left="720"/>
              <w:jc w:val="center"/>
              <w:rPr>
                <w:rFonts w:cs="Times New Roman"/>
                <w:b/>
                <w:sz w:val="24"/>
              </w:rPr>
            </w:pPr>
            <w:r w:rsidRPr="006C26A7">
              <w:rPr>
                <w:rFonts w:cs="Times New Roman"/>
                <w:b/>
                <w:sz w:val="24"/>
              </w:rPr>
              <w:t>UNIVERSITY OF TENNESSEE HEALTH SCIENCE CENTER</w:t>
            </w:r>
          </w:p>
          <w:p w14:paraId="25E9731B" w14:textId="77777777" w:rsidR="002D292C" w:rsidRDefault="002D292C" w:rsidP="00276E06">
            <w:pPr>
              <w:pStyle w:val="Header"/>
              <w:tabs>
                <w:tab w:val="clear" w:pos="4320"/>
                <w:tab w:val="clear" w:pos="8640"/>
              </w:tabs>
              <w:ind w:left="720"/>
              <w:jc w:val="center"/>
              <w:rPr>
                <w:b/>
                <w:sz w:val="24"/>
              </w:rPr>
            </w:pPr>
            <w:r w:rsidRPr="006C26A7">
              <w:rPr>
                <w:rFonts w:cs="Times New Roman"/>
                <w:b/>
                <w:sz w:val="24"/>
              </w:rPr>
              <w:t xml:space="preserve"> INSTITUTIONAL REVIEW BOARD</w:t>
            </w:r>
          </w:p>
          <w:p w14:paraId="07F1A4DC" w14:textId="77777777" w:rsidR="002D292C" w:rsidRPr="006C26A7" w:rsidRDefault="002D292C" w:rsidP="00276E06">
            <w:pPr>
              <w:pStyle w:val="Header"/>
              <w:tabs>
                <w:tab w:val="clear" w:pos="4320"/>
                <w:tab w:val="clear" w:pos="8640"/>
              </w:tabs>
              <w:ind w:left="720"/>
              <w:jc w:val="center"/>
              <w:rPr>
                <w:rFonts w:cs="Times New Roman"/>
                <w:b/>
                <w:sz w:val="24"/>
              </w:rPr>
            </w:pPr>
          </w:p>
          <w:p w14:paraId="5C4E3B6D" w14:textId="4E8E7890" w:rsidR="002D292C" w:rsidRDefault="002D292C" w:rsidP="00276E06">
            <w:pPr>
              <w:jc w:val="center"/>
              <w:rPr>
                <w:rFonts w:ascii="Goudy Old Style" w:hAnsi="Goudy Old Style"/>
              </w:rPr>
            </w:pPr>
            <w:r w:rsidRPr="006C26A7">
              <w:rPr>
                <w:rFonts w:ascii="Times New Roman" w:hAnsi="Times New Roman" w:cs="Times New Roman"/>
                <w:b/>
              </w:rPr>
              <w:t xml:space="preserve"> </w:t>
            </w:r>
            <w:r>
              <w:rPr>
                <w:rFonts w:ascii="Times New Roman" w:hAnsi="Times New Roman" w:cs="Times New Roman"/>
                <w:b/>
              </w:rPr>
              <w:t>IRB EXPEDITED</w:t>
            </w:r>
            <w:r w:rsidRPr="006C26A7">
              <w:rPr>
                <w:rFonts w:ascii="Times New Roman" w:hAnsi="Times New Roman" w:cs="Times New Roman"/>
                <w:b/>
              </w:rPr>
              <w:t xml:space="preserve"> REVIEW</w:t>
            </w:r>
            <w:r>
              <w:rPr>
                <w:rFonts w:ascii="Times New Roman" w:hAnsi="Times New Roman" w:cs="Times New Roman"/>
                <w:b/>
              </w:rPr>
              <w:t xml:space="preserve"> OF NEW STUDIES</w:t>
            </w:r>
            <w:r>
              <w:rPr>
                <w:rFonts w:ascii="Goudy Old Style" w:hAnsi="Goudy Old Style"/>
              </w:rPr>
              <w:t xml:space="preserve"> </w:t>
            </w:r>
          </w:p>
          <w:p w14:paraId="404AA495" w14:textId="77777777" w:rsidR="002D292C" w:rsidRDefault="002D292C" w:rsidP="00276E06">
            <w:pPr>
              <w:jc w:val="center"/>
              <w:rPr>
                <w:rFonts w:ascii="Goudy Old Style" w:hAnsi="Goudy Old Style"/>
              </w:rPr>
            </w:pPr>
          </w:p>
        </w:tc>
      </w:tr>
      <w:tr w:rsidR="002D292C" w14:paraId="59F9205D" w14:textId="77777777" w:rsidTr="00276E06">
        <w:tc>
          <w:tcPr>
            <w:tcW w:w="4050" w:type="dxa"/>
          </w:tcPr>
          <w:p w14:paraId="1F818DD9" w14:textId="43AC7430" w:rsidR="002D292C" w:rsidRDefault="002D292C" w:rsidP="00276E06">
            <w:pPr>
              <w:ind w:left="-15" w:firstLine="15"/>
              <w:rPr>
                <w:rFonts w:ascii="Goudy Old Style" w:hAnsi="Goudy Old Style"/>
              </w:rPr>
            </w:pPr>
            <w:r>
              <w:rPr>
                <w:rFonts w:ascii="Goudy Old Style" w:hAnsi="Goudy Old Style"/>
              </w:rPr>
              <w:t>Version Number: 009</w:t>
            </w:r>
          </w:p>
          <w:p w14:paraId="482B846A" w14:textId="562F3A5D" w:rsidR="002D292C" w:rsidRDefault="002D292C" w:rsidP="00276E06">
            <w:pPr>
              <w:ind w:left="-15" w:firstLine="15"/>
              <w:rPr>
                <w:rFonts w:ascii="Goudy Old Style" w:hAnsi="Goudy Old Style"/>
              </w:rPr>
            </w:pPr>
            <w:r>
              <w:rPr>
                <w:rFonts w:ascii="Goudy Old Style" w:hAnsi="Goudy Old Style"/>
              </w:rPr>
              <w:t>Supersedes: 008</w:t>
            </w:r>
          </w:p>
        </w:tc>
        <w:tc>
          <w:tcPr>
            <w:tcW w:w="4770" w:type="dxa"/>
          </w:tcPr>
          <w:p w14:paraId="4883B465" w14:textId="77777777" w:rsidR="002D292C" w:rsidRDefault="002D292C" w:rsidP="00276E06">
            <w:pPr>
              <w:rPr>
                <w:rFonts w:ascii="Goudy Old Style" w:hAnsi="Goudy Old Style"/>
              </w:rPr>
            </w:pPr>
            <w:r>
              <w:rPr>
                <w:rFonts w:ascii="Goudy Old Style" w:hAnsi="Goudy Old Style"/>
              </w:rPr>
              <w:t>Effective Date:  10/01/2004</w:t>
            </w:r>
          </w:p>
          <w:p w14:paraId="7FAC5104" w14:textId="13A00EAA" w:rsidR="002D292C" w:rsidRDefault="002D292C" w:rsidP="00276E06">
            <w:pPr>
              <w:rPr>
                <w:rFonts w:ascii="Goudy Old Style" w:hAnsi="Goudy Old Style"/>
              </w:rPr>
            </w:pPr>
            <w:r>
              <w:rPr>
                <w:rFonts w:ascii="Goudy Old Style" w:hAnsi="Goudy Old Style"/>
              </w:rPr>
              <w:t xml:space="preserve">Date of Revision or Annual Review: </w:t>
            </w:r>
            <w:r w:rsidR="000A5143">
              <w:rPr>
                <w:rFonts w:ascii="Goudy Old Style" w:hAnsi="Goudy Old Style"/>
              </w:rPr>
              <w:t>10</w:t>
            </w:r>
            <w:r>
              <w:rPr>
                <w:rFonts w:ascii="Goudy Old Style" w:hAnsi="Goudy Old Style"/>
              </w:rPr>
              <w:t>/</w:t>
            </w:r>
            <w:r w:rsidR="000A5143">
              <w:rPr>
                <w:rFonts w:ascii="Goudy Old Style" w:hAnsi="Goudy Old Style"/>
              </w:rPr>
              <w:t>04</w:t>
            </w:r>
            <w:r>
              <w:rPr>
                <w:rFonts w:ascii="Goudy Old Style" w:hAnsi="Goudy Old Style"/>
              </w:rPr>
              <w:t>/2022</w:t>
            </w:r>
          </w:p>
          <w:p w14:paraId="10AD0DDA" w14:textId="77777777" w:rsidR="002D292C" w:rsidRDefault="002D292C" w:rsidP="00276E06">
            <w:pPr>
              <w:jc w:val="center"/>
              <w:rPr>
                <w:rFonts w:ascii="Goudy Old Style" w:hAnsi="Goudy Old Style"/>
              </w:rPr>
            </w:pPr>
          </w:p>
        </w:tc>
      </w:tr>
    </w:tbl>
    <w:p w14:paraId="4ED6FA1A" w14:textId="77777777" w:rsidR="002D292C" w:rsidRDefault="002D292C" w:rsidP="006205D1">
      <w:pPr>
        <w:pStyle w:val="Header"/>
        <w:tabs>
          <w:tab w:val="clear" w:pos="4320"/>
          <w:tab w:val="clear" w:pos="8640"/>
        </w:tabs>
        <w:jc w:val="center"/>
        <w:rPr>
          <w:b/>
          <w:sz w:val="24"/>
        </w:rPr>
      </w:pPr>
    </w:p>
    <w:p w14:paraId="3F344D71" w14:textId="717EA256" w:rsidR="001B359F" w:rsidRDefault="001B359F" w:rsidP="006205D1">
      <w:pPr>
        <w:pStyle w:val="Header"/>
        <w:tabs>
          <w:tab w:val="clear" w:pos="4320"/>
          <w:tab w:val="clear" w:pos="8640"/>
        </w:tabs>
        <w:jc w:val="center"/>
        <w:rPr>
          <w:b/>
          <w:sz w:val="24"/>
        </w:rPr>
      </w:pPr>
    </w:p>
    <w:p w14:paraId="548BCEED" w14:textId="72CFA17F" w:rsidR="001B359F" w:rsidRDefault="00E312C2" w:rsidP="006205D1">
      <w:pPr>
        <w:pStyle w:val="Header"/>
        <w:tabs>
          <w:tab w:val="clear" w:pos="4320"/>
          <w:tab w:val="clear" w:pos="8640"/>
        </w:tabs>
        <w:jc w:val="center"/>
        <w:rPr>
          <w:b/>
          <w:sz w:val="24"/>
        </w:rPr>
      </w:pPr>
      <w:r>
        <w:rPr>
          <w:b/>
          <w:sz w:val="24"/>
        </w:rPr>
        <w:t xml:space="preserve"> IRB EXPEDITED REVIEW</w:t>
      </w:r>
      <w:r w:rsidR="009A7E31">
        <w:rPr>
          <w:b/>
          <w:sz w:val="24"/>
        </w:rPr>
        <w:t xml:space="preserve"> OF NEW STUDIES</w:t>
      </w:r>
    </w:p>
    <w:p w14:paraId="128E4300" w14:textId="77777777" w:rsidR="006205D1" w:rsidRDefault="006205D1" w:rsidP="006205D1">
      <w:pPr>
        <w:pStyle w:val="Header"/>
        <w:tabs>
          <w:tab w:val="clear" w:pos="4320"/>
          <w:tab w:val="clear" w:pos="8640"/>
        </w:tabs>
        <w:jc w:val="center"/>
        <w:rPr>
          <w:b/>
          <w:sz w:val="24"/>
        </w:rPr>
      </w:pPr>
    </w:p>
    <w:p w14:paraId="76AD15DD" w14:textId="77777777" w:rsidR="001B359F" w:rsidRDefault="001B359F" w:rsidP="006205D1">
      <w:pPr>
        <w:pStyle w:val="Header"/>
        <w:tabs>
          <w:tab w:val="clear" w:pos="4320"/>
          <w:tab w:val="clear" w:pos="8640"/>
        </w:tabs>
        <w:jc w:val="center"/>
        <w:rPr>
          <w:b/>
          <w:sz w:val="24"/>
        </w:rPr>
      </w:pPr>
    </w:p>
    <w:p w14:paraId="692CA855" w14:textId="77777777" w:rsidR="001B359F" w:rsidRDefault="00E312C2" w:rsidP="006205D1">
      <w:pPr>
        <w:pStyle w:val="Header"/>
        <w:numPr>
          <w:ilvl w:val="0"/>
          <w:numId w:val="3"/>
        </w:numPr>
        <w:tabs>
          <w:tab w:val="clear" w:pos="720"/>
          <w:tab w:val="clear" w:pos="4320"/>
          <w:tab w:val="clear" w:pos="8640"/>
        </w:tabs>
        <w:rPr>
          <w:b/>
          <w:sz w:val="24"/>
        </w:rPr>
      </w:pPr>
      <w:r>
        <w:rPr>
          <w:b/>
          <w:sz w:val="24"/>
        </w:rPr>
        <w:t>PURPOSE</w:t>
      </w:r>
    </w:p>
    <w:p w14:paraId="7142B831" w14:textId="77777777" w:rsidR="00A80D95" w:rsidRDefault="00A80D95" w:rsidP="006205D1">
      <w:pPr>
        <w:pStyle w:val="Header"/>
        <w:tabs>
          <w:tab w:val="clear" w:pos="4320"/>
          <w:tab w:val="clear" w:pos="8640"/>
        </w:tabs>
        <w:ind w:left="720"/>
        <w:rPr>
          <w:sz w:val="24"/>
        </w:rPr>
      </w:pPr>
    </w:p>
    <w:p w14:paraId="27A11E8C" w14:textId="77777777" w:rsidR="00A80D95" w:rsidRDefault="00A80D95" w:rsidP="006205D1">
      <w:pPr>
        <w:pStyle w:val="Header"/>
        <w:tabs>
          <w:tab w:val="clear" w:pos="4320"/>
          <w:tab w:val="clear" w:pos="8640"/>
        </w:tabs>
        <w:ind w:left="720"/>
        <w:rPr>
          <w:sz w:val="24"/>
        </w:rPr>
      </w:pPr>
      <w:r>
        <w:rPr>
          <w:sz w:val="24"/>
        </w:rPr>
        <w:t>To document the procedures used by University of Tennessee Health Science Center Institutional Review Board to review and evaluate submissions under expedited review procedures.</w:t>
      </w:r>
    </w:p>
    <w:p w14:paraId="6B1DA651" w14:textId="77777777" w:rsidR="00A80D95" w:rsidRDefault="00A80D95" w:rsidP="006205D1">
      <w:pPr>
        <w:pStyle w:val="Header"/>
        <w:tabs>
          <w:tab w:val="clear" w:pos="4320"/>
          <w:tab w:val="clear" w:pos="8640"/>
        </w:tabs>
        <w:ind w:left="720"/>
        <w:rPr>
          <w:sz w:val="24"/>
        </w:rPr>
      </w:pPr>
    </w:p>
    <w:p w14:paraId="6B8259E0" w14:textId="77777777" w:rsidR="00A80D95" w:rsidRDefault="00A80D95" w:rsidP="006205D1">
      <w:pPr>
        <w:pStyle w:val="Header"/>
        <w:numPr>
          <w:ilvl w:val="0"/>
          <w:numId w:val="3"/>
        </w:numPr>
        <w:tabs>
          <w:tab w:val="clear" w:pos="720"/>
          <w:tab w:val="clear" w:pos="4320"/>
          <w:tab w:val="clear" w:pos="8640"/>
        </w:tabs>
        <w:rPr>
          <w:b/>
          <w:sz w:val="24"/>
        </w:rPr>
      </w:pPr>
      <w:r>
        <w:rPr>
          <w:b/>
          <w:sz w:val="24"/>
        </w:rPr>
        <w:t>SCOPE</w:t>
      </w:r>
    </w:p>
    <w:p w14:paraId="02BEC84F" w14:textId="77777777" w:rsidR="00A80D95" w:rsidRDefault="006205D1" w:rsidP="006205D1">
      <w:pPr>
        <w:pStyle w:val="Header"/>
        <w:tabs>
          <w:tab w:val="clear" w:pos="4320"/>
          <w:tab w:val="clear" w:pos="8640"/>
        </w:tabs>
        <w:ind w:left="720"/>
        <w:rPr>
          <w:b/>
          <w:sz w:val="24"/>
        </w:rPr>
      </w:pPr>
      <w:r>
        <w:rPr>
          <w:b/>
          <w:sz w:val="24"/>
        </w:rPr>
        <w:tab/>
      </w:r>
    </w:p>
    <w:p w14:paraId="6C1741C2" w14:textId="6C3F1519" w:rsidR="00A80D95" w:rsidRDefault="00A80D95" w:rsidP="006205D1">
      <w:pPr>
        <w:pStyle w:val="Header"/>
        <w:tabs>
          <w:tab w:val="clear" w:pos="4320"/>
          <w:tab w:val="clear" w:pos="8640"/>
        </w:tabs>
        <w:ind w:left="720"/>
        <w:rPr>
          <w:sz w:val="24"/>
        </w:rPr>
      </w:pPr>
      <w:r>
        <w:rPr>
          <w:sz w:val="24"/>
        </w:rPr>
        <w:t xml:space="preserve">This SOP applies to the IRB </w:t>
      </w:r>
      <w:r w:rsidR="00BC3948">
        <w:rPr>
          <w:sz w:val="24"/>
        </w:rPr>
        <w:t>administrative staff, Board members, and investigators.</w:t>
      </w:r>
    </w:p>
    <w:p w14:paraId="53429F1F" w14:textId="77777777" w:rsidR="00A80D95" w:rsidRDefault="00A80D95" w:rsidP="006205D1">
      <w:pPr>
        <w:pStyle w:val="Header"/>
        <w:tabs>
          <w:tab w:val="clear" w:pos="4320"/>
          <w:tab w:val="clear" w:pos="8640"/>
        </w:tabs>
        <w:ind w:left="720"/>
        <w:rPr>
          <w:sz w:val="24"/>
        </w:rPr>
      </w:pPr>
    </w:p>
    <w:p w14:paraId="3DDF4B8B" w14:textId="77777777" w:rsidR="00A80D95" w:rsidRDefault="00A80D95" w:rsidP="006205D1">
      <w:pPr>
        <w:pStyle w:val="Header"/>
        <w:tabs>
          <w:tab w:val="clear" w:pos="4320"/>
          <w:tab w:val="clear" w:pos="8640"/>
        </w:tabs>
        <w:ind w:left="720"/>
        <w:rPr>
          <w:b/>
          <w:sz w:val="24"/>
        </w:rPr>
      </w:pPr>
      <w:r>
        <w:rPr>
          <w:b/>
          <w:sz w:val="24"/>
        </w:rPr>
        <w:t>Personnel Responsible:</w:t>
      </w:r>
    </w:p>
    <w:p w14:paraId="3A61E0D3" w14:textId="77777777" w:rsidR="00A80D95" w:rsidRDefault="00A80D95" w:rsidP="006205D1">
      <w:pPr>
        <w:pStyle w:val="Header"/>
        <w:tabs>
          <w:tab w:val="clear" w:pos="4320"/>
          <w:tab w:val="clear" w:pos="8640"/>
        </w:tabs>
        <w:ind w:left="720"/>
        <w:rPr>
          <w:b/>
          <w:sz w:val="24"/>
        </w:rPr>
      </w:pPr>
    </w:p>
    <w:p w14:paraId="57FAC383" w14:textId="77777777" w:rsidR="00A80D95" w:rsidRDefault="00A80D95" w:rsidP="006205D1">
      <w:pPr>
        <w:pStyle w:val="Header"/>
        <w:tabs>
          <w:tab w:val="clear" w:pos="4320"/>
          <w:tab w:val="clear" w:pos="8640"/>
        </w:tabs>
        <w:ind w:left="720"/>
        <w:rPr>
          <w:sz w:val="24"/>
        </w:rPr>
      </w:pPr>
      <w:r>
        <w:rPr>
          <w:sz w:val="24"/>
        </w:rPr>
        <w:t>IRB Chairperson, IRB members, IRB Director or designee.</w:t>
      </w:r>
    </w:p>
    <w:p w14:paraId="4A2B4FA8" w14:textId="77777777" w:rsidR="00A80D95" w:rsidRDefault="00A80D95" w:rsidP="006205D1">
      <w:pPr>
        <w:pStyle w:val="Header"/>
        <w:tabs>
          <w:tab w:val="clear" w:pos="4320"/>
          <w:tab w:val="clear" w:pos="8640"/>
        </w:tabs>
        <w:ind w:left="720"/>
        <w:rPr>
          <w:b/>
          <w:sz w:val="24"/>
        </w:rPr>
      </w:pPr>
    </w:p>
    <w:p w14:paraId="7A9BBC6A" w14:textId="77777777" w:rsidR="00A80D95" w:rsidRDefault="00A80D95" w:rsidP="006205D1">
      <w:pPr>
        <w:pStyle w:val="Header"/>
        <w:numPr>
          <w:ilvl w:val="0"/>
          <w:numId w:val="3"/>
        </w:numPr>
        <w:tabs>
          <w:tab w:val="clear" w:pos="720"/>
          <w:tab w:val="clear" w:pos="4320"/>
          <w:tab w:val="clear" w:pos="8640"/>
        </w:tabs>
        <w:rPr>
          <w:b/>
          <w:sz w:val="24"/>
        </w:rPr>
      </w:pPr>
      <w:r>
        <w:rPr>
          <w:b/>
          <w:sz w:val="24"/>
        </w:rPr>
        <w:t>BACKGROUND</w:t>
      </w:r>
    </w:p>
    <w:p w14:paraId="43982D49" w14:textId="77777777" w:rsidR="00A80D95" w:rsidRDefault="00A80D95" w:rsidP="006205D1">
      <w:pPr>
        <w:pStyle w:val="Header"/>
        <w:tabs>
          <w:tab w:val="clear" w:pos="4320"/>
          <w:tab w:val="clear" w:pos="8640"/>
        </w:tabs>
        <w:ind w:left="720"/>
        <w:rPr>
          <w:sz w:val="24"/>
        </w:rPr>
      </w:pPr>
    </w:p>
    <w:p w14:paraId="400E303F" w14:textId="48151D56" w:rsidR="00A80D95" w:rsidRDefault="00A80D95" w:rsidP="006205D1">
      <w:pPr>
        <w:pStyle w:val="Header"/>
        <w:tabs>
          <w:tab w:val="clear" w:pos="4320"/>
          <w:tab w:val="clear" w:pos="8640"/>
        </w:tabs>
        <w:ind w:left="720"/>
        <w:rPr>
          <w:sz w:val="24"/>
        </w:rPr>
      </w:pPr>
      <w:r>
        <w:rPr>
          <w:sz w:val="24"/>
        </w:rPr>
        <w:t>The Department of Health and Human Services and the Food and Drug Administration have established, and published in the Federal Register, a list of categories of research that may be reviewed by the IRB through an expedited review procedure.</w:t>
      </w:r>
      <w:r w:rsidR="00BF4F04">
        <w:rPr>
          <w:sz w:val="24"/>
        </w:rPr>
        <w:t xml:space="preserve">  Research activities with human subjects involving no more than minimal risk and involving</w:t>
      </w:r>
      <w:r w:rsidR="00C20FF9">
        <w:rPr>
          <w:sz w:val="24"/>
        </w:rPr>
        <w:t xml:space="preserve"> only</w:t>
      </w:r>
      <w:r w:rsidR="00BF4F04">
        <w:rPr>
          <w:sz w:val="24"/>
        </w:rPr>
        <w:t xml:space="preserve"> one or more of t</w:t>
      </w:r>
      <w:r w:rsidR="00C20FF9">
        <w:rPr>
          <w:sz w:val="24"/>
        </w:rPr>
        <w:t>he categories of qualifying procedures</w:t>
      </w:r>
      <w:r w:rsidR="00BF4F04">
        <w:rPr>
          <w:sz w:val="24"/>
        </w:rPr>
        <w:t xml:space="preserve"> may qualify for expedited review.  </w:t>
      </w:r>
      <w:r>
        <w:rPr>
          <w:sz w:val="24"/>
        </w:rPr>
        <w:t xml:space="preserve">The list will be amended, as appropriate, through periodic re-publication in the Federal Register. </w:t>
      </w:r>
      <w:r w:rsidR="009A7E31">
        <w:rPr>
          <w:sz w:val="24"/>
        </w:rPr>
        <w:t xml:space="preserve"> </w:t>
      </w:r>
      <w:r>
        <w:rPr>
          <w:sz w:val="24"/>
        </w:rPr>
        <w:t xml:space="preserve"> </w:t>
      </w:r>
    </w:p>
    <w:p w14:paraId="55FC614D" w14:textId="13E1669D" w:rsidR="00A80D95" w:rsidRDefault="00A80D95" w:rsidP="00E544D8">
      <w:pPr>
        <w:pStyle w:val="Header"/>
        <w:tabs>
          <w:tab w:val="clear" w:pos="4320"/>
          <w:tab w:val="clear" w:pos="8640"/>
        </w:tabs>
        <w:rPr>
          <w:sz w:val="24"/>
        </w:rPr>
      </w:pPr>
    </w:p>
    <w:p w14:paraId="4E2DAF59" w14:textId="2226B774" w:rsidR="00A80D95" w:rsidRDefault="00AC0E6C" w:rsidP="006205D1">
      <w:pPr>
        <w:pStyle w:val="Header"/>
        <w:tabs>
          <w:tab w:val="clear" w:pos="4320"/>
          <w:tab w:val="clear" w:pos="8640"/>
        </w:tabs>
        <w:ind w:left="720"/>
        <w:rPr>
          <w:sz w:val="24"/>
        </w:rPr>
      </w:pPr>
      <w:r w:rsidRPr="00E544D8">
        <w:rPr>
          <w:sz w:val="24"/>
        </w:rPr>
        <w:t>A</w:t>
      </w:r>
      <w:r w:rsidR="00A80D95" w:rsidRPr="00E544D8">
        <w:rPr>
          <w:sz w:val="24"/>
        </w:rPr>
        <w:t xml:space="preserve"> Chair</w:t>
      </w:r>
      <w:r w:rsidR="00A80D95">
        <w:rPr>
          <w:sz w:val="24"/>
        </w:rPr>
        <w:t xml:space="preserve"> or other senior member of the IRB may conduct an expedited review of a study.  The reviewer may exercise all the authority of the IRB except to disapprove the research.  The reviewer may decide that the application does not meet expedited review requirements or that the application needs to undergo review by the full Board for other specific reasons.</w:t>
      </w:r>
    </w:p>
    <w:p w14:paraId="49ACC425" w14:textId="77777777" w:rsidR="00A80D95" w:rsidRDefault="00A80D95" w:rsidP="006205D1">
      <w:pPr>
        <w:pStyle w:val="Header"/>
        <w:tabs>
          <w:tab w:val="clear" w:pos="4320"/>
          <w:tab w:val="clear" w:pos="8640"/>
        </w:tabs>
        <w:ind w:left="720"/>
        <w:rPr>
          <w:sz w:val="24"/>
        </w:rPr>
      </w:pPr>
    </w:p>
    <w:p w14:paraId="03ED9EFB" w14:textId="77777777" w:rsidR="00A80D95" w:rsidRDefault="00A80D95" w:rsidP="006205D1">
      <w:pPr>
        <w:pStyle w:val="Header"/>
        <w:tabs>
          <w:tab w:val="clear" w:pos="4320"/>
          <w:tab w:val="clear" w:pos="8640"/>
        </w:tabs>
        <w:ind w:left="720"/>
        <w:rPr>
          <w:sz w:val="24"/>
        </w:rPr>
      </w:pPr>
      <w:r>
        <w:rPr>
          <w:sz w:val="24"/>
        </w:rPr>
        <w:lastRenderedPageBreak/>
        <w:t>The Department of Health and Human Services and Food and Drug Administration may restrict, suspend, or terminate an institution's or IRB's use of the expedited review procedure when necessary to protect the rights or welfare of subjects.</w:t>
      </w:r>
    </w:p>
    <w:p w14:paraId="4DF8A700" w14:textId="77777777" w:rsidR="00A80D95" w:rsidRDefault="00A80D95" w:rsidP="006205D1">
      <w:pPr>
        <w:pStyle w:val="Header"/>
        <w:tabs>
          <w:tab w:val="clear" w:pos="4320"/>
          <w:tab w:val="clear" w:pos="8640"/>
        </w:tabs>
        <w:ind w:left="720"/>
        <w:rPr>
          <w:sz w:val="24"/>
        </w:rPr>
      </w:pPr>
    </w:p>
    <w:p w14:paraId="572B7E18" w14:textId="77777777" w:rsidR="00A80D95" w:rsidRDefault="00A80D95" w:rsidP="006205D1">
      <w:pPr>
        <w:pStyle w:val="Header"/>
        <w:tabs>
          <w:tab w:val="clear" w:pos="4320"/>
          <w:tab w:val="clear" w:pos="8640"/>
        </w:tabs>
        <w:ind w:firstLine="675"/>
        <w:rPr>
          <w:b/>
          <w:sz w:val="24"/>
        </w:rPr>
      </w:pPr>
      <w:r>
        <w:rPr>
          <w:b/>
          <w:sz w:val="24"/>
        </w:rPr>
        <w:t>In Accordance With:</w:t>
      </w:r>
    </w:p>
    <w:p w14:paraId="3A91496B" w14:textId="77777777" w:rsidR="00A80D95" w:rsidRDefault="00A80D95" w:rsidP="006205D1">
      <w:pPr>
        <w:pStyle w:val="Header"/>
        <w:tabs>
          <w:tab w:val="clear" w:pos="4320"/>
          <w:tab w:val="clear" w:pos="8640"/>
        </w:tabs>
        <w:ind w:left="720"/>
        <w:rPr>
          <w:b/>
          <w:sz w:val="24"/>
        </w:rPr>
      </w:pPr>
    </w:p>
    <w:p w14:paraId="72BA5A85" w14:textId="77777777" w:rsidR="00A80D95" w:rsidRPr="000D0E25" w:rsidRDefault="00A80D95" w:rsidP="006205D1">
      <w:pPr>
        <w:pStyle w:val="Heading3"/>
        <w:ind w:left="720"/>
        <w:rPr>
          <w:b w:val="0"/>
          <w:sz w:val="24"/>
        </w:rPr>
      </w:pPr>
      <w:r w:rsidRPr="000D0E25">
        <w:rPr>
          <w:b w:val="0"/>
          <w:sz w:val="24"/>
        </w:rPr>
        <w:t xml:space="preserve">21 CFR 56.110; 45 CFR 46.110. </w:t>
      </w:r>
    </w:p>
    <w:p w14:paraId="722F998C" w14:textId="77777777" w:rsidR="00A80D95" w:rsidRPr="000D0E25" w:rsidRDefault="00A80D95" w:rsidP="00E312C2">
      <w:pPr>
        <w:pStyle w:val="Heading3"/>
        <w:ind w:left="720"/>
        <w:rPr>
          <w:b w:val="0"/>
        </w:rPr>
      </w:pPr>
    </w:p>
    <w:p w14:paraId="27228C2B" w14:textId="77777777" w:rsidR="00387716" w:rsidRDefault="00387716" w:rsidP="006205D1">
      <w:pPr>
        <w:pStyle w:val="Header"/>
        <w:tabs>
          <w:tab w:val="clear" w:pos="4320"/>
          <w:tab w:val="clear" w:pos="8640"/>
        </w:tabs>
        <w:ind w:left="720"/>
        <w:rPr>
          <w:sz w:val="24"/>
        </w:rPr>
      </w:pPr>
      <w:r>
        <w:rPr>
          <w:sz w:val="24"/>
        </w:rPr>
        <w:t>Conditions for IRB Use of Expedited Review</w:t>
      </w:r>
    </w:p>
    <w:p w14:paraId="73680E48" w14:textId="6C70D5A5" w:rsidR="00387716" w:rsidRDefault="00000000" w:rsidP="006205D1">
      <w:pPr>
        <w:pStyle w:val="Header"/>
        <w:tabs>
          <w:tab w:val="clear" w:pos="4320"/>
          <w:tab w:val="clear" w:pos="8640"/>
        </w:tabs>
        <w:ind w:left="720"/>
        <w:rPr>
          <w:sz w:val="24"/>
        </w:rPr>
      </w:pPr>
      <w:hyperlink r:id="rId10" w:history="1">
        <w:r w:rsidR="00D8549E" w:rsidRPr="00D8549E">
          <w:rPr>
            <w:rStyle w:val="Hyperlink"/>
            <w:sz w:val="24"/>
          </w:rPr>
          <w:t>http://www.fda.gov/ScienceResearch/SpecialTopics/RunningClinicalTrials/GuidancesInformationSheetsandNotices/ucm118099.htm</w:t>
        </w:r>
      </w:hyperlink>
    </w:p>
    <w:p w14:paraId="79F8D6FD" w14:textId="77777777" w:rsidR="00387716" w:rsidRDefault="00387716" w:rsidP="006205D1">
      <w:pPr>
        <w:pStyle w:val="Header"/>
        <w:tabs>
          <w:tab w:val="clear" w:pos="4320"/>
          <w:tab w:val="clear" w:pos="8640"/>
        </w:tabs>
        <w:ind w:left="720"/>
        <w:rPr>
          <w:sz w:val="24"/>
        </w:rPr>
      </w:pPr>
    </w:p>
    <w:p w14:paraId="5A5CAB68" w14:textId="77777777" w:rsidR="006A64D8" w:rsidRDefault="006A64D8" w:rsidP="006205D1">
      <w:pPr>
        <w:pStyle w:val="Header"/>
        <w:tabs>
          <w:tab w:val="clear" w:pos="4320"/>
          <w:tab w:val="clear" w:pos="8640"/>
        </w:tabs>
        <w:ind w:left="720"/>
        <w:rPr>
          <w:sz w:val="24"/>
        </w:rPr>
      </w:pPr>
      <w:r>
        <w:rPr>
          <w:sz w:val="24"/>
        </w:rPr>
        <w:t>Expedited Review: Categories of Research that may be Reviewed Through an Expedited Review Procedure</w:t>
      </w:r>
    </w:p>
    <w:p w14:paraId="237207B5" w14:textId="6C91BF53" w:rsidR="006A64D8" w:rsidRDefault="00000000" w:rsidP="006205D1">
      <w:pPr>
        <w:pStyle w:val="Header"/>
        <w:tabs>
          <w:tab w:val="clear" w:pos="4320"/>
          <w:tab w:val="clear" w:pos="8640"/>
        </w:tabs>
        <w:ind w:left="720"/>
        <w:rPr>
          <w:sz w:val="24"/>
        </w:rPr>
      </w:pPr>
      <w:hyperlink r:id="rId11" w:history="1">
        <w:r w:rsidR="00D8549E" w:rsidRPr="00D8549E">
          <w:rPr>
            <w:rStyle w:val="Hyperlink"/>
            <w:sz w:val="24"/>
          </w:rPr>
          <w:t>http://www.hhs.gov/ohrp/policy/expedited98.html</w:t>
        </w:r>
      </w:hyperlink>
    </w:p>
    <w:p w14:paraId="778014CA" w14:textId="77777777" w:rsidR="00D8549E" w:rsidRDefault="00D8549E" w:rsidP="006205D1">
      <w:pPr>
        <w:pStyle w:val="Header"/>
        <w:tabs>
          <w:tab w:val="clear" w:pos="4320"/>
          <w:tab w:val="clear" w:pos="8640"/>
        </w:tabs>
        <w:ind w:left="720"/>
        <w:rPr>
          <w:sz w:val="24"/>
        </w:rPr>
      </w:pPr>
    </w:p>
    <w:p w14:paraId="604522B0" w14:textId="77777777" w:rsidR="006A64D8" w:rsidRDefault="006A64D8" w:rsidP="006205D1">
      <w:pPr>
        <w:pStyle w:val="Header"/>
        <w:tabs>
          <w:tab w:val="clear" w:pos="4320"/>
          <w:tab w:val="clear" w:pos="8640"/>
        </w:tabs>
        <w:ind w:left="720"/>
        <w:rPr>
          <w:sz w:val="24"/>
        </w:rPr>
      </w:pPr>
      <w:r>
        <w:rPr>
          <w:sz w:val="24"/>
        </w:rPr>
        <w:t>Guidance on Expedited Review Procedures</w:t>
      </w:r>
    </w:p>
    <w:p w14:paraId="4D1EDE7A" w14:textId="13463F42" w:rsidR="006A64D8" w:rsidRDefault="00000000" w:rsidP="006205D1">
      <w:pPr>
        <w:pStyle w:val="Header"/>
        <w:tabs>
          <w:tab w:val="clear" w:pos="4320"/>
          <w:tab w:val="clear" w:pos="8640"/>
        </w:tabs>
        <w:ind w:left="720"/>
        <w:rPr>
          <w:sz w:val="24"/>
        </w:rPr>
      </w:pPr>
      <w:hyperlink r:id="rId12" w:history="1">
        <w:r w:rsidR="00D8549E" w:rsidRPr="00D8549E">
          <w:rPr>
            <w:rStyle w:val="Hyperlink"/>
            <w:sz w:val="24"/>
          </w:rPr>
          <w:t>http://www.hhs.gov/ohrp/policy/exprev.html</w:t>
        </w:r>
      </w:hyperlink>
    </w:p>
    <w:p w14:paraId="3449C982" w14:textId="4FED0C8A" w:rsidR="00A80D95" w:rsidRPr="000D0E25" w:rsidDel="004840FC" w:rsidRDefault="00A80D95" w:rsidP="006205D1">
      <w:pPr>
        <w:pStyle w:val="Header"/>
        <w:tabs>
          <w:tab w:val="clear" w:pos="4320"/>
          <w:tab w:val="clear" w:pos="8640"/>
        </w:tabs>
        <w:ind w:left="720"/>
        <w:rPr>
          <w:sz w:val="24"/>
        </w:rPr>
      </w:pPr>
    </w:p>
    <w:p w14:paraId="0DC45C3E" w14:textId="77777777" w:rsidR="00A80D95" w:rsidRDefault="00A80D95" w:rsidP="006205D1">
      <w:pPr>
        <w:pStyle w:val="Header"/>
        <w:tabs>
          <w:tab w:val="clear" w:pos="4320"/>
          <w:tab w:val="clear" w:pos="8640"/>
        </w:tabs>
        <w:ind w:left="720"/>
        <w:rPr>
          <w:b/>
          <w:sz w:val="24"/>
        </w:rPr>
      </w:pPr>
    </w:p>
    <w:p w14:paraId="41136C19" w14:textId="77777777" w:rsidR="00A80D95" w:rsidRDefault="00A80D95" w:rsidP="006205D1">
      <w:pPr>
        <w:pStyle w:val="Header"/>
        <w:tabs>
          <w:tab w:val="clear" w:pos="4320"/>
          <w:tab w:val="clear" w:pos="8640"/>
        </w:tabs>
        <w:ind w:left="720"/>
        <w:rPr>
          <w:b/>
          <w:caps/>
          <w:sz w:val="24"/>
        </w:rPr>
      </w:pPr>
      <w:r>
        <w:rPr>
          <w:b/>
          <w:i/>
          <w:sz w:val="24"/>
        </w:rPr>
        <w:t>Compliance with this policy also requires compliance with state or local laws or regulations that provide additional protections for human subjects.</w:t>
      </w:r>
    </w:p>
    <w:p w14:paraId="2126D00E" w14:textId="77777777" w:rsidR="00A80D95" w:rsidRDefault="00A80D95" w:rsidP="00E312C2">
      <w:pPr>
        <w:pStyle w:val="Header"/>
        <w:tabs>
          <w:tab w:val="clear" w:pos="4320"/>
          <w:tab w:val="clear" w:pos="8640"/>
        </w:tabs>
        <w:ind w:left="720"/>
        <w:rPr>
          <w:b/>
          <w:sz w:val="24"/>
        </w:rPr>
      </w:pPr>
    </w:p>
    <w:p w14:paraId="69085BCF" w14:textId="77777777" w:rsidR="00A80D95" w:rsidRDefault="00A80D95" w:rsidP="006205D1">
      <w:pPr>
        <w:pStyle w:val="Header"/>
        <w:numPr>
          <w:ilvl w:val="0"/>
          <w:numId w:val="3"/>
        </w:numPr>
        <w:tabs>
          <w:tab w:val="clear" w:pos="720"/>
          <w:tab w:val="clear" w:pos="4320"/>
          <w:tab w:val="clear" w:pos="8640"/>
        </w:tabs>
        <w:rPr>
          <w:b/>
          <w:sz w:val="24"/>
        </w:rPr>
      </w:pPr>
      <w:r>
        <w:rPr>
          <w:b/>
          <w:sz w:val="24"/>
        </w:rPr>
        <w:t>PROCEDURES</w:t>
      </w:r>
    </w:p>
    <w:p w14:paraId="00B71348" w14:textId="77777777" w:rsidR="00A80D95" w:rsidRDefault="00A80D95" w:rsidP="00E312C2">
      <w:pPr>
        <w:pStyle w:val="Header"/>
        <w:tabs>
          <w:tab w:val="clear" w:pos="4320"/>
          <w:tab w:val="clear" w:pos="8640"/>
        </w:tabs>
        <w:ind w:left="720"/>
        <w:rPr>
          <w:b/>
          <w:sz w:val="24"/>
        </w:rPr>
      </w:pPr>
    </w:p>
    <w:p w14:paraId="0A6B6709" w14:textId="310FD9CA" w:rsidR="002D6048" w:rsidRDefault="008926DA" w:rsidP="00D8549E">
      <w:pPr>
        <w:pStyle w:val="Header"/>
        <w:numPr>
          <w:ilvl w:val="1"/>
          <w:numId w:val="3"/>
        </w:numPr>
        <w:tabs>
          <w:tab w:val="clear" w:pos="2160"/>
          <w:tab w:val="clear" w:pos="4320"/>
          <w:tab w:val="clear" w:pos="8640"/>
        </w:tabs>
        <w:ind w:left="1080" w:hanging="360"/>
        <w:rPr>
          <w:sz w:val="24"/>
        </w:rPr>
      </w:pPr>
      <w:r>
        <w:rPr>
          <w:sz w:val="24"/>
        </w:rPr>
        <w:t>Investigators must submit the initial Expedited app</w:t>
      </w:r>
      <w:r w:rsidR="00A6729F">
        <w:rPr>
          <w:sz w:val="24"/>
        </w:rPr>
        <w:t xml:space="preserve">lication via the </w:t>
      </w:r>
      <w:r w:rsidR="00A556DD" w:rsidRPr="000A5143">
        <w:rPr>
          <w:i/>
          <w:iCs/>
          <w:sz w:val="24"/>
        </w:rPr>
        <w:t xml:space="preserve">UTHSC IRB </w:t>
      </w:r>
      <w:r w:rsidR="00A6729F" w:rsidRPr="000A5143">
        <w:rPr>
          <w:i/>
          <w:iCs/>
          <w:sz w:val="24"/>
        </w:rPr>
        <w:t>Form 1</w:t>
      </w:r>
      <w:r w:rsidR="00A556DD" w:rsidRPr="000A5143">
        <w:rPr>
          <w:i/>
          <w:iCs/>
          <w:sz w:val="24"/>
        </w:rPr>
        <w:t>: Study/Project</w:t>
      </w:r>
      <w:r w:rsidR="00A6729F" w:rsidRPr="000A5143">
        <w:rPr>
          <w:i/>
          <w:iCs/>
          <w:sz w:val="24"/>
        </w:rPr>
        <w:t xml:space="preserve"> </w:t>
      </w:r>
      <w:r w:rsidRPr="000A5143">
        <w:rPr>
          <w:i/>
          <w:iCs/>
          <w:sz w:val="24"/>
        </w:rPr>
        <w:t>Application</w:t>
      </w:r>
      <w:r>
        <w:rPr>
          <w:sz w:val="24"/>
        </w:rPr>
        <w:t xml:space="preserve"> within iMedRIS with appropriate signature(s) and with all the appropriate attachments such as</w:t>
      </w:r>
      <w:r w:rsidR="0076545B">
        <w:rPr>
          <w:sz w:val="24"/>
        </w:rPr>
        <w:t>,</w:t>
      </w:r>
    </w:p>
    <w:p w14:paraId="28C29778" w14:textId="685E3C6C" w:rsidR="008926DA" w:rsidRDefault="008926DA" w:rsidP="00D8549E">
      <w:pPr>
        <w:pStyle w:val="Header"/>
        <w:numPr>
          <w:ilvl w:val="4"/>
          <w:numId w:val="3"/>
        </w:numPr>
        <w:tabs>
          <w:tab w:val="clear" w:pos="3600"/>
          <w:tab w:val="clear" w:pos="4320"/>
          <w:tab w:val="clear" w:pos="8640"/>
        </w:tabs>
        <w:ind w:left="1440"/>
        <w:rPr>
          <w:sz w:val="24"/>
        </w:rPr>
      </w:pPr>
      <w:r>
        <w:rPr>
          <w:sz w:val="24"/>
        </w:rPr>
        <w:t>protocol;</w:t>
      </w:r>
    </w:p>
    <w:p w14:paraId="5ACB1429" w14:textId="7F6E5C03" w:rsidR="008926DA" w:rsidRDefault="008926DA" w:rsidP="00D8549E">
      <w:pPr>
        <w:pStyle w:val="Header"/>
        <w:numPr>
          <w:ilvl w:val="4"/>
          <w:numId w:val="3"/>
        </w:numPr>
        <w:tabs>
          <w:tab w:val="clear" w:pos="3600"/>
          <w:tab w:val="clear" w:pos="4320"/>
          <w:tab w:val="clear" w:pos="8640"/>
        </w:tabs>
        <w:ind w:left="1440"/>
        <w:rPr>
          <w:sz w:val="24"/>
        </w:rPr>
      </w:pPr>
      <w:r>
        <w:rPr>
          <w:sz w:val="24"/>
        </w:rPr>
        <w:t>surveys, questionnaires, data collection instruments;</w:t>
      </w:r>
    </w:p>
    <w:p w14:paraId="4F242C45" w14:textId="39C333CD" w:rsidR="00CC1BC6" w:rsidRDefault="00CC1BC6" w:rsidP="00D8549E">
      <w:pPr>
        <w:pStyle w:val="Header"/>
        <w:numPr>
          <w:ilvl w:val="4"/>
          <w:numId w:val="3"/>
        </w:numPr>
        <w:tabs>
          <w:tab w:val="clear" w:pos="3600"/>
          <w:tab w:val="clear" w:pos="4320"/>
          <w:tab w:val="clear" w:pos="8640"/>
        </w:tabs>
        <w:ind w:left="1440"/>
        <w:rPr>
          <w:sz w:val="24"/>
        </w:rPr>
      </w:pPr>
      <w:r>
        <w:rPr>
          <w:sz w:val="24"/>
        </w:rPr>
        <w:t xml:space="preserve">package insert; </w:t>
      </w:r>
    </w:p>
    <w:p w14:paraId="3FF68F1E" w14:textId="07AA9341" w:rsidR="008926DA" w:rsidRDefault="008926DA" w:rsidP="00D8549E">
      <w:pPr>
        <w:pStyle w:val="Header"/>
        <w:numPr>
          <w:ilvl w:val="4"/>
          <w:numId w:val="3"/>
        </w:numPr>
        <w:tabs>
          <w:tab w:val="clear" w:pos="3600"/>
          <w:tab w:val="clear" w:pos="4320"/>
          <w:tab w:val="clear" w:pos="8640"/>
        </w:tabs>
        <w:ind w:left="1440"/>
        <w:rPr>
          <w:sz w:val="24"/>
        </w:rPr>
      </w:pPr>
      <w:r>
        <w:rPr>
          <w:sz w:val="24"/>
        </w:rPr>
        <w:t>informed consent</w:t>
      </w:r>
      <w:r w:rsidR="00D8549E">
        <w:rPr>
          <w:sz w:val="24"/>
        </w:rPr>
        <w:t xml:space="preserve"> document</w:t>
      </w:r>
      <w:r w:rsidR="00FE66E6">
        <w:rPr>
          <w:sz w:val="24"/>
        </w:rPr>
        <w:t>.</w:t>
      </w:r>
    </w:p>
    <w:p w14:paraId="6123683E" w14:textId="77777777" w:rsidR="008926DA" w:rsidRDefault="008926DA" w:rsidP="00D8549E">
      <w:pPr>
        <w:pStyle w:val="Header"/>
        <w:tabs>
          <w:tab w:val="clear" w:pos="4320"/>
          <w:tab w:val="clear" w:pos="8640"/>
        </w:tabs>
        <w:ind w:left="720"/>
        <w:rPr>
          <w:sz w:val="24"/>
        </w:rPr>
      </w:pPr>
    </w:p>
    <w:p w14:paraId="555C6863" w14:textId="7C3A2D83" w:rsidR="00A80D95" w:rsidRDefault="002D6048" w:rsidP="006205D1">
      <w:pPr>
        <w:pStyle w:val="Header"/>
        <w:tabs>
          <w:tab w:val="clear" w:pos="4320"/>
          <w:tab w:val="clear" w:pos="8640"/>
        </w:tabs>
        <w:ind w:left="1080" w:hanging="360"/>
        <w:rPr>
          <w:sz w:val="24"/>
        </w:rPr>
      </w:pPr>
      <w:r>
        <w:rPr>
          <w:sz w:val="24"/>
        </w:rPr>
        <w:t>2.</w:t>
      </w:r>
      <w:r>
        <w:rPr>
          <w:sz w:val="24"/>
        </w:rPr>
        <w:tab/>
      </w:r>
      <w:r w:rsidR="00A80D95">
        <w:rPr>
          <w:sz w:val="24"/>
        </w:rPr>
        <w:t xml:space="preserve">Upon receipt of </w:t>
      </w:r>
      <w:r w:rsidR="00FE66E6">
        <w:rPr>
          <w:sz w:val="24"/>
        </w:rPr>
        <w:t xml:space="preserve">the </w:t>
      </w:r>
      <w:r w:rsidR="00A556DD" w:rsidRPr="000A5143">
        <w:rPr>
          <w:i/>
          <w:iCs/>
          <w:sz w:val="24"/>
        </w:rPr>
        <w:t xml:space="preserve">UTHSC IRB </w:t>
      </w:r>
      <w:r w:rsidR="00FE66E6" w:rsidRPr="000A5143">
        <w:rPr>
          <w:i/>
          <w:iCs/>
          <w:sz w:val="24"/>
        </w:rPr>
        <w:t>Form 1</w:t>
      </w:r>
      <w:r w:rsidR="00A556DD" w:rsidRPr="000A5143">
        <w:rPr>
          <w:i/>
          <w:iCs/>
          <w:sz w:val="24"/>
        </w:rPr>
        <w:t>: Study/Project</w:t>
      </w:r>
      <w:r w:rsidR="00FE66E6" w:rsidRPr="000A5143">
        <w:rPr>
          <w:i/>
          <w:iCs/>
          <w:sz w:val="24"/>
        </w:rPr>
        <w:t xml:space="preserve"> Application</w:t>
      </w:r>
      <w:r w:rsidR="00A80D95">
        <w:rPr>
          <w:sz w:val="24"/>
        </w:rPr>
        <w:t>, the following procedures will be utilized:</w:t>
      </w:r>
    </w:p>
    <w:p w14:paraId="551D7212" w14:textId="7C4A182A" w:rsidR="00A80D95" w:rsidRDefault="00A80D95" w:rsidP="006205D1">
      <w:pPr>
        <w:pStyle w:val="Header"/>
        <w:tabs>
          <w:tab w:val="clear" w:pos="4320"/>
          <w:tab w:val="clear" w:pos="8640"/>
        </w:tabs>
        <w:ind w:left="1440" w:hanging="360"/>
        <w:rPr>
          <w:sz w:val="24"/>
        </w:rPr>
      </w:pPr>
      <w:r>
        <w:rPr>
          <w:sz w:val="24"/>
        </w:rPr>
        <w:t xml:space="preserve">a. </w:t>
      </w:r>
      <w:r>
        <w:rPr>
          <w:sz w:val="24"/>
        </w:rPr>
        <w:tab/>
        <w:t xml:space="preserve">The IRB Director or </w:t>
      </w:r>
      <w:r w:rsidR="0089265E">
        <w:rPr>
          <w:sz w:val="24"/>
        </w:rPr>
        <w:t xml:space="preserve">other qualified IRB administrative staff </w:t>
      </w:r>
      <w:r w:rsidR="00FE66E6">
        <w:rPr>
          <w:sz w:val="24"/>
        </w:rPr>
        <w:t xml:space="preserve">member </w:t>
      </w:r>
      <w:r>
        <w:rPr>
          <w:sz w:val="24"/>
        </w:rPr>
        <w:t>will assign an IRB number to the application.</w:t>
      </w:r>
    </w:p>
    <w:p w14:paraId="65AE0570" w14:textId="42589A82" w:rsidR="00A80D95" w:rsidRDefault="00A80D95" w:rsidP="006205D1">
      <w:pPr>
        <w:pStyle w:val="Header"/>
        <w:tabs>
          <w:tab w:val="clear" w:pos="4320"/>
          <w:tab w:val="clear" w:pos="8640"/>
        </w:tabs>
        <w:ind w:left="1440" w:hanging="360"/>
        <w:rPr>
          <w:sz w:val="24"/>
        </w:rPr>
      </w:pPr>
      <w:r>
        <w:rPr>
          <w:sz w:val="24"/>
        </w:rPr>
        <w:t xml:space="preserve">b. </w:t>
      </w:r>
      <w:r>
        <w:rPr>
          <w:sz w:val="24"/>
        </w:rPr>
        <w:tab/>
        <w:t xml:space="preserve">The </w:t>
      </w:r>
      <w:r w:rsidR="00A556DD" w:rsidRPr="000A5143">
        <w:rPr>
          <w:i/>
          <w:iCs/>
          <w:sz w:val="24"/>
        </w:rPr>
        <w:t xml:space="preserve">UTHSC IRB </w:t>
      </w:r>
      <w:r w:rsidRPr="000A5143">
        <w:rPr>
          <w:i/>
          <w:iCs/>
          <w:sz w:val="24"/>
        </w:rPr>
        <w:t>Form 1</w:t>
      </w:r>
      <w:r w:rsidR="00A556DD" w:rsidRPr="000A5143">
        <w:rPr>
          <w:i/>
          <w:iCs/>
          <w:sz w:val="24"/>
        </w:rPr>
        <w:t>: Study/Project</w:t>
      </w:r>
      <w:r w:rsidRPr="000A5143">
        <w:rPr>
          <w:i/>
          <w:iCs/>
          <w:sz w:val="24"/>
        </w:rPr>
        <w:t xml:space="preserve"> </w:t>
      </w:r>
      <w:r w:rsidR="00A556DD" w:rsidRPr="000A5143">
        <w:rPr>
          <w:i/>
          <w:iCs/>
          <w:sz w:val="24"/>
        </w:rPr>
        <w:t>A</w:t>
      </w:r>
      <w:r w:rsidRPr="000A5143">
        <w:rPr>
          <w:i/>
          <w:iCs/>
          <w:sz w:val="24"/>
        </w:rPr>
        <w:t>pplication</w:t>
      </w:r>
      <w:r>
        <w:rPr>
          <w:sz w:val="24"/>
        </w:rPr>
        <w:t xml:space="preserve"> is forwarded to the electronic queue of an IRB analyst for determination of whether the application qualifies for expedited review.</w:t>
      </w:r>
    </w:p>
    <w:p w14:paraId="60137EEA" w14:textId="21CE3DD5" w:rsidR="00A80D95" w:rsidRDefault="00A80D95" w:rsidP="006205D1">
      <w:pPr>
        <w:pStyle w:val="Header"/>
        <w:tabs>
          <w:tab w:val="clear" w:pos="4320"/>
          <w:tab w:val="clear" w:pos="8640"/>
        </w:tabs>
        <w:ind w:left="1440" w:hanging="360"/>
        <w:rPr>
          <w:sz w:val="24"/>
        </w:rPr>
      </w:pPr>
      <w:r>
        <w:rPr>
          <w:sz w:val="24"/>
        </w:rPr>
        <w:t xml:space="preserve">c.  </w:t>
      </w:r>
      <w:r>
        <w:rPr>
          <w:sz w:val="24"/>
        </w:rPr>
        <w:tab/>
        <w:t xml:space="preserve">If the study qualifies for expedited review, </w:t>
      </w:r>
      <w:r w:rsidR="00AC0E6C" w:rsidRPr="00E544D8">
        <w:rPr>
          <w:sz w:val="24"/>
        </w:rPr>
        <w:t>a</w:t>
      </w:r>
      <w:r w:rsidRPr="00E544D8">
        <w:rPr>
          <w:sz w:val="24"/>
        </w:rPr>
        <w:t xml:space="preserve"> Chair</w:t>
      </w:r>
      <w:r>
        <w:rPr>
          <w:sz w:val="24"/>
        </w:rPr>
        <w:t xml:space="preserve"> or other </w:t>
      </w:r>
      <w:r w:rsidR="0089265E">
        <w:rPr>
          <w:sz w:val="24"/>
        </w:rPr>
        <w:t>experienced reviewer designated by th</w:t>
      </w:r>
      <w:r w:rsidR="00593E93">
        <w:rPr>
          <w:sz w:val="24"/>
        </w:rPr>
        <w:t xml:space="preserve">e </w:t>
      </w:r>
      <w:r w:rsidR="00AC0E6C" w:rsidRPr="00E544D8">
        <w:rPr>
          <w:sz w:val="24"/>
        </w:rPr>
        <w:t>Director</w:t>
      </w:r>
      <w:r>
        <w:rPr>
          <w:sz w:val="24"/>
        </w:rPr>
        <w:t xml:space="preserve"> is assigned the responsibility for reviewing the application.  </w:t>
      </w:r>
      <w:r w:rsidR="0089265E">
        <w:rPr>
          <w:sz w:val="24"/>
        </w:rPr>
        <w:t>No IRB member will participate in the expedited review of research in which the member has a conflict of interest.</w:t>
      </w:r>
    </w:p>
    <w:p w14:paraId="53B997C5" w14:textId="5C2C3DFF" w:rsidR="0076545B" w:rsidRDefault="0076545B" w:rsidP="006205D1">
      <w:pPr>
        <w:pStyle w:val="Header"/>
        <w:tabs>
          <w:tab w:val="clear" w:pos="4320"/>
          <w:tab w:val="clear" w:pos="8640"/>
        </w:tabs>
        <w:ind w:left="1440" w:hanging="360"/>
        <w:rPr>
          <w:sz w:val="24"/>
        </w:rPr>
      </w:pPr>
      <w:r>
        <w:rPr>
          <w:sz w:val="24"/>
        </w:rPr>
        <w:t>d.</w:t>
      </w:r>
      <w:r>
        <w:rPr>
          <w:sz w:val="24"/>
        </w:rPr>
        <w:tab/>
      </w:r>
    </w:p>
    <w:p w14:paraId="66F8C00E" w14:textId="3D8D1732" w:rsidR="00A80D95" w:rsidRDefault="00FE66E6" w:rsidP="006205D1">
      <w:pPr>
        <w:pStyle w:val="Header"/>
        <w:tabs>
          <w:tab w:val="clear" w:pos="4320"/>
          <w:tab w:val="clear" w:pos="8640"/>
        </w:tabs>
        <w:ind w:left="1440" w:hanging="360"/>
        <w:rPr>
          <w:sz w:val="24"/>
        </w:rPr>
      </w:pPr>
      <w:r>
        <w:rPr>
          <w:sz w:val="24"/>
        </w:rPr>
        <w:lastRenderedPageBreak/>
        <w:t>e</w:t>
      </w:r>
      <w:r w:rsidR="00A80D95">
        <w:rPr>
          <w:sz w:val="24"/>
        </w:rPr>
        <w:t>.  The assigned reviewer(s) will review the application</w:t>
      </w:r>
      <w:r w:rsidR="002942C2">
        <w:rPr>
          <w:sz w:val="24"/>
        </w:rPr>
        <w:t>, study documents (if any),</w:t>
      </w:r>
      <w:r w:rsidR="00A80D95">
        <w:rPr>
          <w:sz w:val="24"/>
        </w:rPr>
        <w:t xml:space="preserve"> and consent documents according to applicable ethical principles, federal regulations and local IRB policies, and will complete the reviewer’s form</w:t>
      </w:r>
      <w:r w:rsidR="0076545B">
        <w:rPr>
          <w:sz w:val="24"/>
        </w:rPr>
        <w:t xml:space="preserve"> within iMedRIS</w:t>
      </w:r>
      <w:r w:rsidR="00A80D95">
        <w:rPr>
          <w:sz w:val="24"/>
        </w:rPr>
        <w:t>.</w:t>
      </w:r>
    </w:p>
    <w:p w14:paraId="5C8E7306" w14:textId="1E3FF17F" w:rsidR="0038175C" w:rsidRDefault="0038175C" w:rsidP="006205D1">
      <w:pPr>
        <w:pStyle w:val="Header"/>
        <w:tabs>
          <w:tab w:val="clear" w:pos="4320"/>
          <w:tab w:val="clear" w:pos="8640"/>
        </w:tabs>
        <w:ind w:left="1440" w:hanging="360"/>
        <w:rPr>
          <w:sz w:val="24"/>
        </w:rPr>
      </w:pPr>
      <w:r>
        <w:rPr>
          <w:sz w:val="24"/>
        </w:rPr>
        <w:t>f.    In reviewing the research, the reviewers may exercise all of the authorities of the IRB except that the reviewers may not disapprove the research.  A research activity may be disapproved only after review in accordance with the non-expedited review procedure set forth in 45 CFR 46.108(b).</w:t>
      </w:r>
    </w:p>
    <w:p w14:paraId="6FECCC40" w14:textId="77777777" w:rsidR="00A80D95" w:rsidRDefault="00A80D95" w:rsidP="00E312C2">
      <w:pPr>
        <w:pStyle w:val="Header"/>
        <w:tabs>
          <w:tab w:val="clear" w:pos="4320"/>
          <w:tab w:val="clear" w:pos="8640"/>
        </w:tabs>
        <w:ind w:left="720"/>
        <w:rPr>
          <w:sz w:val="24"/>
        </w:rPr>
      </w:pPr>
    </w:p>
    <w:p w14:paraId="30FF9F69" w14:textId="2FD936C6" w:rsidR="0053346E" w:rsidRDefault="0053346E" w:rsidP="006205D1">
      <w:pPr>
        <w:pStyle w:val="Header"/>
        <w:tabs>
          <w:tab w:val="clear" w:pos="4320"/>
          <w:tab w:val="clear" w:pos="8640"/>
        </w:tabs>
        <w:ind w:left="1080" w:hanging="360"/>
        <w:rPr>
          <w:sz w:val="24"/>
        </w:rPr>
      </w:pPr>
      <w:r>
        <w:rPr>
          <w:sz w:val="24"/>
        </w:rPr>
        <w:t>3.</w:t>
      </w:r>
      <w:r>
        <w:rPr>
          <w:sz w:val="24"/>
        </w:rPr>
        <w:tab/>
        <w:t>Based on the review of the information submitted, the IRB will take one of the following actions:</w:t>
      </w:r>
    </w:p>
    <w:p w14:paraId="02EF4290" w14:textId="78A22299" w:rsidR="0053346E" w:rsidRDefault="0053346E" w:rsidP="006205D1">
      <w:pPr>
        <w:pStyle w:val="Header"/>
        <w:tabs>
          <w:tab w:val="clear" w:pos="4320"/>
          <w:tab w:val="clear" w:pos="8640"/>
        </w:tabs>
        <w:ind w:left="1080" w:hanging="360"/>
        <w:rPr>
          <w:sz w:val="24"/>
        </w:rPr>
      </w:pPr>
      <w:r>
        <w:rPr>
          <w:sz w:val="24"/>
        </w:rPr>
        <w:tab/>
        <w:t>a.</w:t>
      </w:r>
      <w:r>
        <w:rPr>
          <w:sz w:val="24"/>
        </w:rPr>
        <w:tab/>
        <w:t xml:space="preserve">Approve the expedited application without </w:t>
      </w:r>
      <w:r w:rsidR="009F2291">
        <w:rPr>
          <w:sz w:val="24"/>
        </w:rPr>
        <w:t>p</w:t>
      </w:r>
      <w:r>
        <w:rPr>
          <w:sz w:val="24"/>
        </w:rPr>
        <w:t>rovisos;</w:t>
      </w:r>
    </w:p>
    <w:p w14:paraId="33AFB8FF" w14:textId="74D203F3" w:rsidR="0053346E" w:rsidRDefault="0053346E" w:rsidP="006205D1">
      <w:pPr>
        <w:pStyle w:val="Header"/>
        <w:tabs>
          <w:tab w:val="clear" w:pos="4320"/>
          <w:tab w:val="clear" w:pos="8640"/>
        </w:tabs>
        <w:ind w:left="1080" w:hanging="360"/>
        <w:rPr>
          <w:sz w:val="24"/>
        </w:rPr>
      </w:pPr>
      <w:r>
        <w:rPr>
          <w:sz w:val="24"/>
        </w:rPr>
        <w:tab/>
        <w:t>b.</w:t>
      </w:r>
      <w:r>
        <w:rPr>
          <w:sz w:val="24"/>
        </w:rPr>
        <w:tab/>
        <w:t xml:space="preserve">Approve the expedited application </w:t>
      </w:r>
      <w:r w:rsidR="009F2291">
        <w:rPr>
          <w:sz w:val="24"/>
        </w:rPr>
        <w:t xml:space="preserve">pending response to administrative </w:t>
      </w:r>
      <w:r>
        <w:rPr>
          <w:sz w:val="24"/>
        </w:rPr>
        <w:t>provisos;</w:t>
      </w:r>
    </w:p>
    <w:p w14:paraId="04328E2E" w14:textId="0B58FF44" w:rsidR="0053346E" w:rsidRDefault="0053346E" w:rsidP="006205D1">
      <w:pPr>
        <w:pStyle w:val="Header"/>
        <w:tabs>
          <w:tab w:val="clear" w:pos="4320"/>
          <w:tab w:val="clear" w:pos="8640"/>
        </w:tabs>
        <w:ind w:left="1080" w:hanging="360"/>
        <w:rPr>
          <w:sz w:val="24"/>
        </w:rPr>
      </w:pPr>
      <w:r>
        <w:rPr>
          <w:sz w:val="24"/>
        </w:rPr>
        <w:tab/>
        <w:t>c.</w:t>
      </w:r>
      <w:r>
        <w:rPr>
          <w:sz w:val="24"/>
        </w:rPr>
        <w:tab/>
        <w:t xml:space="preserve">Defer approval of the application </w:t>
      </w:r>
      <w:r w:rsidR="00E019B6">
        <w:rPr>
          <w:sz w:val="24"/>
        </w:rPr>
        <w:t>pending resolution of substantive conditions requiring further review; or</w:t>
      </w:r>
    </w:p>
    <w:p w14:paraId="0D478228" w14:textId="53B0A004" w:rsidR="00E019B6" w:rsidRDefault="00E019B6" w:rsidP="006205D1">
      <w:pPr>
        <w:pStyle w:val="Header"/>
        <w:tabs>
          <w:tab w:val="clear" w:pos="4320"/>
          <w:tab w:val="clear" w:pos="8640"/>
        </w:tabs>
        <w:ind w:left="1080" w:hanging="360"/>
        <w:rPr>
          <w:sz w:val="24"/>
        </w:rPr>
      </w:pPr>
      <w:r>
        <w:rPr>
          <w:sz w:val="24"/>
        </w:rPr>
        <w:tab/>
        <w:t>d.</w:t>
      </w:r>
      <w:r>
        <w:rPr>
          <w:sz w:val="24"/>
        </w:rPr>
        <w:tab/>
      </w:r>
      <w:r w:rsidR="009F2291">
        <w:rPr>
          <w:sz w:val="24"/>
        </w:rPr>
        <w:t>The</w:t>
      </w:r>
      <w:r>
        <w:rPr>
          <w:sz w:val="24"/>
        </w:rPr>
        <w:t xml:space="preserve"> application will be re-assigned exempt or full board review status.</w:t>
      </w:r>
    </w:p>
    <w:p w14:paraId="59934C9F" w14:textId="77777777" w:rsidR="0053346E" w:rsidRDefault="0053346E" w:rsidP="006205D1">
      <w:pPr>
        <w:pStyle w:val="Header"/>
        <w:tabs>
          <w:tab w:val="clear" w:pos="4320"/>
          <w:tab w:val="clear" w:pos="8640"/>
        </w:tabs>
        <w:ind w:left="1080" w:hanging="360"/>
        <w:rPr>
          <w:sz w:val="24"/>
        </w:rPr>
      </w:pPr>
    </w:p>
    <w:p w14:paraId="6A64940E" w14:textId="2853587F" w:rsidR="00A80D95" w:rsidRDefault="009F2291" w:rsidP="006205D1">
      <w:pPr>
        <w:pStyle w:val="Header"/>
        <w:tabs>
          <w:tab w:val="clear" w:pos="4320"/>
          <w:tab w:val="clear" w:pos="8640"/>
        </w:tabs>
        <w:ind w:left="1080" w:hanging="360"/>
        <w:rPr>
          <w:sz w:val="24"/>
        </w:rPr>
      </w:pPr>
      <w:r>
        <w:rPr>
          <w:sz w:val="24"/>
        </w:rPr>
        <w:t>4</w:t>
      </w:r>
      <w:r w:rsidR="00A80D95">
        <w:rPr>
          <w:sz w:val="24"/>
        </w:rPr>
        <w:t xml:space="preserve">.  </w:t>
      </w:r>
      <w:r w:rsidR="00A80D95">
        <w:rPr>
          <w:sz w:val="24"/>
        </w:rPr>
        <w:tab/>
        <w:t xml:space="preserve">If the reviewer approves the expedited </w:t>
      </w:r>
      <w:r w:rsidR="00A556DD" w:rsidRPr="000A5143">
        <w:rPr>
          <w:i/>
          <w:iCs/>
          <w:sz w:val="24"/>
        </w:rPr>
        <w:t xml:space="preserve">UTHSC IRB </w:t>
      </w:r>
      <w:r w:rsidR="00A80D95" w:rsidRPr="000A5143">
        <w:rPr>
          <w:i/>
          <w:iCs/>
          <w:sz w:val="24"/>
        </w:rPr>
        <w:t>Form 1</w:t>
      </w:r>
      <w:r w:rsidR="00A556DD" w:rsidRPr="000A5143">
        <w:rPr>
          <w:i/>
          <w:iCs/>
          <w:sz w:val="24"/>
        </w:rPr>
        <w:t>: Study/Project</w:t>
      </w:r>
      <w:r w:rsidR="00A80D95" w:rsidRPr="000A5143">
        <w:rPr>
          <w:i/>
          <w:iCs/>
          <w:sz w:val="24"/>
        </w:rPr>
        <w:t xml:space="preserve"> </w:t>
      </w:r>
      <w:r w:rsidR="00A556DD" w:rsidRPr="000A5143">
        <w:rPr>
          <w:i/>
          <w:iCs/>
          <w:sz w:val="24"/>
        </w:rPr>
        <w:t>A</w:t>
      </w:r>
      <w:r w:rsidR="00A80D95" w:rsidRPr="000A5143">
        <w:rPr>
          <w:i/>
          <w:iCs/>
          <w:sz w:val="24"/>
        </w:rPr>
        <w:t>pplication</w:t>
      </w:r>
      <w:r w:rsidR="00A80D95">
        <w:rPr>
          <w:sz w:val="24"/>
        </w:rPr>
        <w:t>:</w:t>
      </w:r>
    </w:p>
    <w:p w14:paraId="2F90D100" w14:textId="1BE44ED1" w:rsidR="00A80D95" w:rsidRDefault="00A80D95" w:rsidP="006205D1">
      <w:pPr>
        <w:pStyle w:val="Header"/>
        <w:tabs>
          <w:tab w:val="clear" w:pos="4320"/>
          <w:tab w:val="clear" w:pos="8640"/>
        </w:tabs>
        <w:ind w:left="1440" w:hanging="360"/>
        <w:rPr>
          <w:sz w:val="24"/>
        </w:rPr>
      </w:pPr>
      <w:r>
        <w:rPr>
          <w:sz w:val="24"/>
        </w:rPr>
        <w:t xml:space="preserve">a. </w:t>
      </w:r>
      <w:r>
        <w:rPr>
          <w:sz w:val="24"/>
        </w:rPr>
        <w:tab/>
        <w:t xml:space="preserve">The results of the protocol review will be summarized by an IRB </w:t>
      </w:r>
      <w:r w:rsidR="001B359F">
        <w:rPr>
          <w:sz w:val="24"/>
        </w:rPr>
        <w:t xml:space="preserve">Regulatory Specialist, IRB Administrator or other qualified IRB administrative staff person </w:t>
      </w:r>
      <w:r>
        <w:rPr>
          <w:sz w:val="24"/>
        </w:rPr>
        <w:t>in a letter to the principal investigator.</w:t>
      </w:r>
      <w:r w:rsidR="009E16D4">
        <w:rPr>
          <w:sz w:val="24"/>
        </w:rPr>
        <w:t xml:space="preserve">  The approval letter will include the approval period for the study.</w:t>
      </w:r>
    </w:p>
    <w:p w14:paraId="61AEC6C3" w14:textId="77777777" w:rsidR="00A80D95" w:rsidRDefault="00A80D95" w:rsidP="006205D1">
      <w:pPr>
        <w:pStyle w:val="Header"/>
        <w:tabs>
          <w:tab w:val="clear" w:pos="4320"/>
          <w:tab w:val="clear" w:pos="8640"/>
        </w:tabs>
        <w:ind w:left="1440" w:hanging="360"/>
        <w:rPr>
          <w:sz w:val="24"/>
        </w:rPr>
      </w:pPr>
      <w:r>
        <w:rPr>
          <w:sz w:val="24"/>
        </w:rPr>
        <w:t>b.</w:t>
      </w:r>
      <w:r>
        <w:rPr>
          <w:sz w:val="24"/>
        </w:rPr>
        <w:tab/>
        <w:t>A copy of the correspondence will be placed in the electronic IRB file     for the study.</w:t>
      </w:r>
    </w:p>
    <w:p w14:paraId="090C17E9" w14:textId="1CC29C11" w:rsidR="00A80D95" w:rsidRDefault="00A80D95" w:rsidP="006205D1">
      <w:pPr>
        <w:pStyle w:val="Header"/>
        <w:tabs>
          <w:tab w:val="clear" w:pos="4320"/>
          <w:tab w:val="clear" w:pos="8640"/>
        </w:tabs>
        <w:ind w:left="1440" w:hanging="360"/>
        <w:rPr>
          <w:sz w:val="24"/>
        </w:rPr>
      </w:pPr>
      <w:r>
        <w:rPr>
          <w:sz w:val="24"/>
        </w:rPr>
        <w:t xml:space="preserve">c. </w:t>
      </w:r>
      <w:r>
        <w:rPr>
          <w:sz w:val="24"/>
        </w:rPr>
        <w:tab/>
        <w:t xml:space="preserve">The letter will be </w:t>
      </w:r>
      <w:r w:rsidR="00131006">
        <w:rPr>
          <w:sz w:val="24"/>
        </w:rPr>
        <w:t xml:space="preserve">issued </w:t>
      </w:r>
      <w:r>
        <w:rPr>
          <w:sz w:val="24"/>
        </w:rPr>
        <w:t>electronically to the investigator</w:t>
      </w:r>
      <w:r w:rsidR="009F2291">
        <w:rPr>
          <w:sz w:val="24"/>
        </w:rPr>
        <w:t xml:space="preserve">, the study contact(s), and the appropriate </w:t>
      </w:r>
      <w:r w:rsidR="009E16D4">
        <w:rPr>
          <w:sz w:val="24"/>
        </w:rPr>
        <w:t>Research Administrative Specialist (</w:t>
      </w:r>
      <w:r w:rsidR="009F2291">
        <w:rPr>
          <w:sz w:val="24"/>
        </w:rPr>
        <w:t>RAS</w:t>
      </w:r>
      <w:r w:rsidR="009E16D4">
        <w:rPr>
          <w:sz w:val="24"/>
        </w:rPr>
        <w:t>)</w:t>
      </w:r>
      <w:r w:rsidR="009F2291">
        <w:rPr>
          <w:sz w:val="24"/>
        </w:rPr>
        <w:t xml:space="preserve"> (if applicable)</w:t>
      </w:r>
      <w:r>
        <w:rPr>
          <w:sz w:val="24"/>
        </w:rPr>
        <w:t>.</w:t>
      </w:r>
    </w:p>
    <w:p w14:paraId="2FFDFCCB" w14:textId="77777777" w:rsidR="00A80D95" w:rsidRDefault="00A80D95" w:rsidP="00E312C2">
      <w:pPr>
        <w:pStyle w:val="Header"/>
        <w:tabs>
          <w:tab w:val="clear" w:pos="4320"/>
          <w:tab w:val="clear" w:pos="8640"/>
        </w:tabs>
        <w:ind w:left="1080"/>
        <w:rPr>
          <w:sz w:val="24"/>
        </w:rPr>
      </w:pPr>
    </w:p>
    <w:p w14:paraId="52E2605B" w14:textId="11FE40B3" w:rsidR="009F2291" w:rsidRDefault="009F2291" w:rsidP="009F2291">
      <w:pPr>
        <w:pStyle w:val="Header"/>
        <w:tabs>
          <w:tab w:val="clear" w:pos="4320"/>
          <w:tab w:val="clear" w:pos="8640"/>
        </w:tabs>
        <w:ind w:left="1080" w:hanging="360"/>
        <w:rPr>
          <w:sz w:val="24"/>
        </w:rPr>
      </w:pPr>
      <w:r>
        <w:rPr>
          <w:sz w:val="24"/>
        </w:rPr>
        <w:t>5.</w:t>
      </w:r>
      <w:r>
        <w:rPr>
          <w:sz w:val="24"/>
        </w:rPr>
        <w:tab/>
        <w:t xml:space="preserve">If an application is approved pending response to administrative provisos, the assigned IRB analyst will collate the comments of the reviewer(s) and administrative staff and send the them to the investigator, study contact(s), and RAS (if appropriate) </w:t>
      </w:r>
      <w:r w:rsidR="00F05635">
        <w:rPr>
          <w:sz w:val="24"/>
        </w:rPr>
        <w:t xml:space="preserve">in a letter </w:t>
      </w:r>
      <w:r>
        <w:rPr>
          <w:sz w:val="24"/>
        </w:rPr>
        <w:t>via iMedRIS.  The investigator must respond to the proviso letter within 60 days from the time the letter is issued.</w:t>
      </w:r>
      <w:r w:rsidR="009E16D4">
        <w:rPr>
          <w:sz w:val="24"/>
        </w:rPr>
        <w:t xml:space="preserve">  If the investigator misses the deadline, the IRB will consider the study inactive and reactivation may require re-submission of the original application for review.</w:t>
      </w:r>
    </w:p>
    <w:p w14:paraId="10C358B1" w14:textId="77777777" w:rsidR="009F2291" w:rsidRDefault="009F2291" w:rsidP="006205D1">
      <w:pPr>
        <w:pStyle w:val="Header"/>
        <w:tabs>
          <w:tab w:val="clear" w:pos="4320"/>
          <w:tab w:val="clear" w:pos="8640"/>
        </w:tabs>
        <w:ind w:left="1080" w:hanging="360"/>
        <w:rPr>
          <w:sz w:val="24"/>
        </w:rPr>
      </w:pPr>
    </w:p>
    <w:p w14:paraId="475DFC43" w14:textId="0026D6FF" w:rsidR="00600A72" w:rsidRDefault="00600A72" w:rsidP="006205D1">
      <w:pPr>
        <w:pStyle w:val="Header"/>
        <w:tabs>
          <w:tab w:val="clear" w:pos="4320"/>
          <w:tab w:val="clear" w:pos="8640"/>
        </w:tabs>
        <w:ind w:left="1080" w:hanging="360"/>
        <w:rPr>
          <w:sz w:val="24"/>
        </w:rPr>
      </w:pPr>
      <w:r>
        <w:rPr>
          <w:sz w:val="24"/>
        </w:rPr>
        <w:t>6.</w:t>
      </w:r>
      <w:r>
        <w:rPr>
          <w:sz w:val="24"/>
        </w:rPr>
        <w:tab/>
      </w:r>
      <w:r w:rsidR="00F05635">
        <w:rPr>
          <w:sz w:val="24"/>
        </w:rPr>
        <w:t xml:space="preserve">If an application is deferred, the assigned IRB analyst will collate the comments of the reviewer(s) and administrative staff and send them to the investigator, study contact(s), and RAS (if appropriate) in a letter via iMedRIS.  Subsequent review and approval by </w:t>
      </w:r>
      <w:r w:rsidR="00AC0E6C" w:rsidRPr="00E544D8">
        <w:rPr>
          <w:sz w:val="24"/>
        </w:rPr>
        <w:t>a</w:t>
      </w:r>
      <w:r w:rsidR="00F05635" w:rsidRPr="00E544D8">
        <w:rPr>
          <w:sz w:val="24"/>
        </w:rPr>
        <w:t xml:space="preserve"> Chair</w:t>
      </w:r>
      <w:r w:rsidR="00F05635">
        <w:rPr>
          <w:sz w:val="24"/>
        </w:rPr>
        <w:t xml:space="preserve"> or other experienced reviewer designated by the </w:t>
      </w:r>
      <w:r w:rsidR="00AC0E6C" w:rsidRPr="00E544D8">
        <w:rPr>
          <w:sz w:val="24"/>
        </w:rPr>
        <w:t>Director</w:t>
      </w:r>
      <w:r w:rsidR="00F05635">
        <w:rPr>
          <w:sz w:val="24"/>
        </w:rPr>
        <w:t xml:space="preserve"> will be required.</w:t>
      </w:r>
      <w:r>
        <w:rPr>
          <w:sz w:val="24"/>
        </w:rPr>
        <w:t xml:space="preserve">   </w:t>
      </w:r>
    </w:p>
    <w:p w14:paraId="7BA38156" w14:textId="77777777" w:rsidR="00600A72" w:rsidRDefault="00600A72" w:rsidP="006205D1">
      <w:pPr>
        <w:pStyle w:val="Header"/>
        <w:tabs>
          <w:tab w:val="clear" w:pos="4320"/>
          <w:tab w:val="clear" w:pos="8640"/>
        </w:tabs>
        <w:ind w:left="1080" w:hanging="360"/>
        <w:rPr>
          <w:sz w:val="24"/>
        </w:rPr>
      </w:pPr>
    </w:p>
    <w:p w14:paraId="158F7026" w14:textId="0EBFF8C6" w:rsidR="002D2ED6" w:rsidRPr="00D8549E" w:rsidRDefault="002D2ED6" w:rsidP="002D2ED6">
      <w:pPr>
        <w:pStyle w:val="Header"/>
        <w:tabs>
          <w:tab w:val="clear" w:pos="4320"/>
          <w:tab w:val="clear" w:pos="8640"/>
        </w:tabs>
        <w:ind w:left="1080" w:hanging="360"/>
        <w:rPr>
          <w:sz w:val="24"/>
          <w:szCs w:val="24"/>
        </w:rPr>
      </w:pPr>
      <w:r>
        <w:rPr>
          <w:sz w:val="24"/>
        </w:rPr>
        <w:lastRenderedPageBreak/>
        <w:t>7.</w:t>
      </w:r>
      <w:r>
        <w:rPr>
          <w:sz w:val="24"/>
        </w:rPr>
        <w:tab/>
      </w:r>
      <w:r w:rsidRPr="00D8549E">
        <w:rPr>
          <w:sz w:val="24"/>
          <w:szCs w:val="24"/>
        </w:rPr>
        <w:t>Research activities that (1) present no more than minimal risk to human subjects, and (2) involve only procedures listed in one or more of the following categories, may be reviewed by the IRB through the expedited review procedure authorized by 45 CFR 46.110 and 21 CFR 56.110. The activities listed should not be deemed to be of minimal risk simply because they are included on this list. Inclusion on this list merely means that the activity is eligible for review through the expedited review procedure when the specific circumstances of the proposed research involve no more than minimal risk to human subjects.</w:t>
      </w:r>
    </w:p>
    <w:p w14:paraId="3ACE1309" w14:textId="77777777" w:rsidR="002D2ED6" w:rsidRPr="00D8549E" w:rsidRDefault="002D2ED6" w:rsidP="00E312C2">
      <w:pPr>
        <w:pStyle w:val="Header"/>
        <w:tabs>
          <w:tab w:val="clear" w:pos="4320"/>
          <w:tab w:val="clear" w:pos="8640"/>
        </w:tabs>
        <w:ind w:left="720"/>
        <w:rPr>
          <w:sz w:val="24"/>
          <w:szCs w:val="24"/>
        </w:rPr>
      </w:pPr>
    </w:p>
    <w:p w14:paraId="75B78291" w14:textId="190F124B" w:rsidR="002D2ED6" w:rsidRPr="00D8549E" w:rsidRDefault="002D2ED6" w:rsidP="002D2ED6">
      <w:pPr>
        <w:pStyle w:val="Header"/>
        <w:tabs>
          <w:tab w:val="clear" w:pos="4320"/>
          <w:tab w:val="clear" w:pos="8640"/>
        </w:tabs>
        <w:ind w:left="1080" w:hanging="360"/>
        <w:rPr>
          <w:sz w:val="24"/>
          <w:szCs w:val="24"/>
        </w:rPr>
      </w:pPr>
      <w:r w:rsidRPr="00D8549E">
        <w:rPr>
          <w:sz w:val="24"/>
          <w:szCs w:val="24"/>
        </w:rPr>
        <w:t>8.</w:t>
      </w:r>
      <w:r w:rsidRPr="00D8549E">
        <w:rPr>
          <w:sz w:val="24"/>
          <w:szCs w:val="24"/>
        </w:rPr>
        <w:tab/>
        <w:t>The categories in this list apply regardless of the age of subjects, except as noted.</w:t>
      </w:r>
    </w:p>
    <w:p w14:paraId="1C18EF30" w14:textId="77777777" w:rsidR="002D2ED6" w:rsidRPr="00D8549E" w:rsidRDefault="002D2ED6" w:rsidP="00E312C2">
      <w:pPr>
        <w:pStyle w:val="Header"/>
        <w:tabs>
          <w:tab w:val="clear" w:pos="4320"/>
          <w:tab w:val="clear" w:pos="8640"/>
        </w:tabs>
        <w:ind w:left="720"/>
        <w:rPr>
          <w:sz w:val="24"/>
          <w:szCs w:val="24"/>
        </w:rPr>
      </w:pPr>
    </w:p>
    <w:p w14:paraId="723D9013" w14:textId="7698204C" w:rsidR="002D2ED6" w:rsidRPr="00D8549E" w:rsidRDefault="002D2ED6" w:rsidP="002D2ED6">
      <w:pPr>
        <w:pStyle w:val="Header"/>
        <w:tabs>
          <w:tab w:val="clear" w:pos="4320"/>
          <w:tab w:val="clear" w:pos="8640"/>
        </w:tabs>
        <w:ind w:left="1080" w:hanging="360"/>
        <w:rPr>
          <w:sz w:val="24"/>
          <w:szCs w:val="24"/>
        </w:rPr>
      </w:pPr>
      <w:r w:rsidRPr="00D8549E">
        <w:rPr>
          <w:sz w:val="24"/>
          <w:szCs w:val="24"/>
        </w:rPr>
        <w:t>9.</w:t>
      </w:r>
      <w:r w:rsidRPr="00D8549E">
        <w:rPr>
          <w:sz w:val="24"/>
          <w:szCs w:val="24"/>
        </w:rPr>
        <w:tab/>
        <w:t>The expedited review procedure will not be used where identification of the subjects and/or their responses would reasonably place them at risk of criminal or civil liability or be damaging to the subjects</w:t>
      </w:r>
      <w:r w:rsidR="00486A56">
        <w:rPr>
          <w:sz w:val="24"/>
          <w:szCs w:val="24"/>
        </w:rPr>
        <w:t>’</w:t>
      </w:r>
      <w:r w:rsidRPr="00D8549E">
        <w:rPr>
          <w:sz w:val="24"/>
          <w:szCs w:val="24"/>
        </w:rPr>
        <w:t xml:space="preserve"> financial standing, employability, insurability, reputation, or be stigmatizing, unless reasonable and appropriate protections will be implemented so that risks related to invasion of privacy and breach of confidentiality are no greater than minimal.</w:t>
      </w:r>
    </w:p>
    <w:p w14:paraId="3ECD1805" w14:textId="77777777" w:rsidR="002D2ED6" w:rsidRPr="00D8549E" w:rsidRDefault="002D2ED6" w:rsidP="00E312C2">
      <w:pPr>
        <w:pStyle w:val="Header"/>
        <w:tabs>
          <w:tab w:val="clear" w:pos="4320"/>
          <w:tab w:val="clear" w:pos="8640"/>
        </w:tabs>
        <w:ind w:left="720"/>
        <w:rPr>
          <w:sz w:val="24"/>
          <w:szCs w:val="24"/>
        </w:rPr>
      </w:pPr>
    </w:p>
    <w:p w14:paraId="3E013E83" w14:textId="2AF47278" w:rsidR="002D2ED6" w:rsidRPr="00D8549E" w:rsidRDefault="002D2ED6" w:rsidP="002D2ED6">
      <w:pPr>
        <w:pStyle w:val="Header"/>
        <w:tabs>
          <w:tab w:val="clear" w:pos="4320"/>
          <w:tab w:val="clear" w:pos="8640"/>
        </w:tabs>
        <w:ind w:left="1080" w:hanging="360"/>
        <w:rPr>
          <w:sz w:val="24"/>
          <w:szCs w:val="24"/>
        </w:rPr>
      </w:pPr>
      <w:r w:rsidRPr="00D8549E">
        <w:rPr>
          <w:sz w:val="24"/>
          <w:szCs w:val="24"/>
        </w:rPr>
        <w:t>10.</w:t>
      </w:r>
      <w:r w:rsidRPr="00D8549E">
        <w:rPr>
          <w:sz w:val="24"/>
          <w:szCs w:val="24"/>
        </w:rPr>
        <w:tab/>
        <w:t>The expedited review procedure will not be used for classified research involving human subjects.</w:t>
      </w:r>
    </w:p>
    <w:p w14:paraId="50C802C7" w14:textId="77777777" w:rsidR="002D2ED6" w:rsidRPr="00D8549E" w:rsidRDefault="002D2ED6" w:rsidP="00E312C2">
      <w:pPr>
        <w:pStyle w:val="Header"/>
        <w:tabs>
          <w:tab w:val="clear" w:pos="4320"/>
          <w:tab w:val="clear" w:pos="8640"/>
        </w:tabs>
        <w:ind w:left="720"/>
        <w:rPr>
          <w:sz w:val="24"/>
          <w:szCs w:val="24"/>
        </w:rPr>
      </w:pPr>
    </w:p>
    <w:p w14:paraId="7ED81FBC" w14:textId="67485E5C" w:rsidR="002D2ED6" w:rsidRPr="00D8549E" w:rsidRDefault="002D2ED6">
      <w:pPr>
        <w:pStyle w:val="Header"/>
        <w:tabs>
          <w:tab w:val="clear" w:pos="4320"/>
          <w:tab w:val="clear" w:pos="8640"/>
        </w:tabs>
        <w:ind w:left="1080" w:hanging="360"/>
        <w:rPr>
          <w:sz w:val="24"/>
          <w:szCs w:val="24"/>
        </w:rPr>
      </w:pPr>
      <w:r w:rsidRPr="00D8549E">
        <w:rPr>
          <w:sz w:val="24"/>
          <w:szCs w:val="24"/>
        </w:rPr>
        <w:t>11.</w:t>
      </w:r>
      <w:r w:rsidRPr="00D8549E">
        <w:rPr>
          <w:sz w:val="24"/>
          <w:szCs w:val="24"/>
        </w:rPr>
        <w:tab/>
      </w:r>
      <w:r w:rsidR="005B3847" w:rsidRPr="00D8549E">
        <w:rPr>
          <w:sz w:val="24"/>
          <w:szCs w:val="24"/>
        </w:rPr>
        <w:t>Categories of research that qualify for expedited review</w:t>
      </w:r>
      <w:r w:rsidR="0072492F">
        <w:rPr>
          <w:sz w:val="24"/>
          <w:szCs w:val="24"/>
        </w:rPr>
        <w:t xml:space="preserve"> are</w:t>
      </w:r>
      <w:r w:rsidR="005B3847" w:rsidRPr="00D8549E">
        <w:rPr>
          <w:sz w:val="24"/>
          <w:szCs w:val="24"/>
        </w:rPr>
        <w:t>:</w:t>
      </w:r>
    </w:p>
    <w:p w14:paraId="4EB6ECF2" w14:textId="13831483" w:rsidR="005B3847" w:rsidRPr="00D8549E" w:rsidRDefault="00390B37">
      <w:pPr>
        <w:ind w:left="1440" w:hanging="360"/>
        <w:rPr>
          <w:rFonts w:ascii="Times New Roman" w:eastAsia="Times New Roman" w:hAnsi="Times New Roman"/>
          <w:szCs w:val="24"/>
        </w:rPr>
      </w:pPr>
      <w:r>
        <w:rPr>
          <w:rFonts w:ascii="Times New Roman" w:eastAsia="Times New Roman" w:hAnsi="Times New Roman"/>
          <w:szCs w:val="24"/>
        </w:rPr>
        <w:t>1)</w:t>
      </w:r>
      <w:r>
        <w:rPr>
          <w:rFonts w:ascii="Times New Roman" w:eastAsia="Times New Roman" w:hAnsi="Times New Roman"/>
          <w:szCs w:val="24"/>
        </w:rPr>
        <w:tab/>
      </w:r>
      <w:r w:rsidR="005B3847" w:rsidRPr="00D8549E">
        <w:rPr>
          <w:rFonts w:ascii="Times New Roman" w:eastAsia="Times New Roman" w:hAnsi="Times New Roman"/>
          <w:szCs w:val="24"/>
        </w:rPr>
        <w:t>Clinical studies of drugs and medical devices only when condition (a) or (b) is met.</w:t>
      </w:r>
    </w:p>
    <w:p w14:paraId="5AACEC8F" w14:textId="31E078C0" w:rsidR="005B3847" w:rsidRPr="00D8549E" w:rsidRDefault="005B3847" w:rsidP="00D8549E">
      <w:pPr>
        <w:numPr>
          <w:ilvl w:val="0"/>
          <w:numId w:val="10"/>
        </w:numPr>
        <w:tabs>
          <w:tab w:val="clear" w:pos="720"/>
        </w:tabs>
        <w:ind w:left="1710"/>
        <w:rPr>
          <w:rFonts w:ascii="Times New Roman" w:eastAsia="Times New Roman" w:hAnsi="Times New Roman"/>
          <w:szCs w:val="24"/>
        </w:rPr>
      </w:pPr>
      <w:r w:rsidRPr="00D8549E">
        <w:rPr>
          <w:rFonts w:ascii="Times New Roman" w:eastAsia="Times New Roman" w:hAnsi="Times New Roman"/>
          <w:szCs w:val="24"/>
        </w:rPr>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36FC1253" w14:textId="77777777" w:rsidR="005B3847" w:rsidRPr="00D8549E" w:rsidRDefault="005B3847" w:rsidP="00D8549E">
      <w:pPr>
        <w:numPr>
          <w:ilvl w:val="0"/>
          <w:numId w:val="10"/>
        </w:numPr>
        <w:tabs>
          <w:tab w:val="clear" w:pos="720"/>
        </w:tabs>
        <w:ind w:left="1710"/>
        <w:rPr>
          <w:rFonts w:ascii="Times New Roman" w:eastAsia="Times New Roman" w:hAnsi="Times New Roman"/>
          <w:szCs w:val="24"/>
        </w:rPr>
      </w:pPr>
      <w:r w:rsidRPr="00D8549E">
        <w:rPr>
          <w:rFonts w:ascii="Times New Roman" w:eastAsia="Times New Roman" w:hAnsi="Times New Roman"/>
          <w:szCs w:val="24"/>
        </w:rPr>
        <w:t>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3C398442" w14:textId="77777777" w:rsidR="005B3847" w:rsidRDefault="005B3847">
      <w:pPr>
        <w:ind w:left="1440" w:hanging="360"/>
        <w:rPr>
          <w:rFonts w:ascii="Times New Roman" w:eastAsia="Times New Roman" w:hAnsi="Times New Roman"/>
          <w:szCs w:val="24"/>
        </w:rPr>
      </w:pPr>
    </w:p>
    <w:p w14:paraId="7F57D4F6" w14:textId="65EBC49B" w:rsidR="005B3847" w:rsidRPr="00D8549E" w:rsidRDefault="005B3847">
      <w:pPr>
        <w:ind w:left="1440" w:hanging="360"/>
        <w:rPr>
          <w:rFonts w:ascii="Times New Roman" w:eastAsia="Times New Roman" w:hAnsi="Times New Roman"/>
          <w:szCs w:val="24"/>
        </w:rPr>
      </w:pPr>
      <w:r w:rsidRPr="00D8549E">
        <w:rPr>
          <w:rFonts w:ascii="Times New Roman" w:eastAsia="Times New Roman" w:hAnsi="Times New Roman"/>
          <w:szCs w:val="24"/>
        </w:rPr>
        <w:t>2)</w:t>
      </w:r>
      <w:r w:rsidRPr="00D8549E">
        <w:rPr>
          <w:rFonts w:ascii="Times New Roman" w:eastAsia="Times New Roman" w:hAnsi="Times New Roman"/>
          <w:szCs w:val="24"/>
        </w:rPr>
        <w:tab/>
        <w:t xml:space="preserve">Collection of blood samples by finger stick, </w:t>
      </w:r>
      <w:proofErr w:type="spellStart"/>
      <w:r w:rsidRPr="00D8549E">
        <w:rPr>
          <w:rFonts w:ascii="Times New Roman" w:eastAsia="Times New Roman" w:hAnsi="Times New Roman"/>
          <w:szCs w:val="24"/>
        </w:rPr>
        <w:t>heel</w:t>
      </w:r>
      <w:proofErr w:type="spellEnd"/>
      <w:r w:rsidRPr="00D8549E">
        <w:rPr>
          <w:rFonts w:ascii="Times New Roman" w:eastAsia="Times New Roman" w:hAnsi="Times New Roman"/>
          <w:szCs w:val="24"/>
        </w:rPr>
        <w:t xml:space="preserve"> stick, ear stick, or venipuncture as follows:</w:t>
      </w:r>
    </w:p>
    <w:p w14:paraId="6791E743" w14:textId="56719879" w:rsidR="005B3847" w:rsidRPr="00D8549E" w:rsidRDefault="005B3847" w:rsidP="00D8549E">
      <w:pPr>
        <w:numPr>
          <w:ilvl w:val="0"/>
          <w:numId w:val="11"/>
        </w:numPr>
        <w:tabs>
          <w:tab w:val="clear" w:pos="720"/>
        </w:tabs>
        <w:ind w:left="1710"/>
        <w:rPr>
          <w:rFonts w:ascii="Times New Roman" w:eastAsia="Times New Roman" w:hAnsi="Times New Roman"/>
          <w:szCs w:val="24"/>
        </w:rPr>
      </w:pPr>
      <w:r w:rsidRPr="00D8549E">
        <w:rPr>
          <w:rFonts w:ascii="Times New Roman" w:eastAsia="Times New Roman" w:hAnsi="Times New Roman"/>
          <w:szCs w:val="24"/>
        </w:rPr>
        <w:t>from healthy, nonpregnant adults who weigh at least 110 pounds. For these subjects, the amounts drawn may not exceed 550 ml in an 8 week period and collection may not occur more frequently than 2 times per week; or</w:t>
      </w:r>
    </w:p>
    <w:p w14:paraId="6361E5F5" w14:textId="451BEDC8" w:rsidR="005B3847" w:rsidRPr="00D8549E" w:rsidRDefault="005B3847" w:rsidP="00D8549E">
      <w:pPr>
        <w:numPr>
          <w:ilvl w:val="0"/>
          <w:numId w:val="11"/>
        </w:numPr>
        <w:tabs>
          <w:tab w:val="clear" w:pos="720"/>
        </w:tabs>
        <w:ind w:left="1710"/>
        <w:rPr>
          <w:rFonts w:ascii="Times New Roman" w:eastAsia="Times New Roman" w:hAnsi="Times New Roman"/>
          <w:szCs w:val="24"/>
        </w:rPr>
      </w:pPr>
      <w:r w:rsidRPr="00D8549E">
        <w:rPr>
          <w:rFonts w:ascii="Times New Roman" w:eastAsia="Times New Roman" w:hAnsi="Times New Roman"/>
          <w:szCs w:val="24"/>
        </w:rPr>
        <w:t xml:space="preserve">from other adults and children, considering the age, weight, and health of the subjects, the collection procedure, the amount of blood to be collected, and the frequency with which it will be collected. For these subjects, the amount drawn may not exceed the lesser of 50 ml or 3 ml </w:t>
      </w:r>
      <w:r w:rsidRPr="00D8549E">
        <w:rPr>
          <w:rFonts w:ascii="Times New Roman" w:eastAsia="Times New Roman" w:hAnsi="Times New Roman"/>
          <w:szCs w:val="24"/>
        </w:rPr>
        <w:lastRenderedPageBreak/>
        <w:t>per kg in an 8 week period and collection may not occur more frequently than 2 times per week.</w:t>
      </w:r>
    </w:p>
    <w:p w14:paraId="3FC78690" w14:textId="77777777" w:rsidR="0031090C" w:rsidRDefault="0031090C" w:rsidP="00D8549E">
      <w:pPr>
        <w:ind w:left="1440" w:hanging="360"/>
        <w:rPr>
          <w:rFonts w:ascii="Times New Roman" w:eastAsia="Times New Roman" w:hAnsi="Times New Roman"/>
          <w:szCs w:val="24"/>
        </w:rPr>
      </w:pPr>
    </w:p>
    <w:p w14:paraId="3DBFC211" w14:textId="6FF25C30" w:rsidR="005B3847" w:rsidRDefault="005B3847" w:rsidP="00D8549E">
      <w:pPr>
        <w:ind w:left="1440" w:hanging="360"/>
        <w:rPr>
          <w:rFonts w:ascii="Times New Roman" w:eastAsia="Times New Roman" w:hAnsi="Times New Roman"/>
          <w:szCs w:val="24"/>
        </w:rPr>
      </w:pPr>
      <w:r w:rsidRPr="00D8549E">
        <w:rPr>
          <w:rFonts w:ascii="Times New Roman" w:eastAsia="Times New Roman" w:hAnsi="Times New Roman"/>
          <w:szCs w:val="24"/>
        </w:rPr>
        <w:t>3)</w:t>
      </w:r>
      <w:r w:rsidRPr="00D8549E">
        <w:rPr>
          <w:rFonts w:ascii="Times New Roman" w:eastAsia="Times New Roman" w:hAnsi="Times New Roman"/>
          <w:szCs w:val="24"/>
        </w:rPr>
        <w:tab/>
        <w:t>Prospective collection of biological specimens for research purposes by noninvasive means.</w:t>
      </w:r>
      <w:r w:rsidRPr="00D8549E">
        <w:rPr>
          <w:rFonts w:ascii="Times New Roman" w:eastAsia="Times New Roman" w:hAnsi="Times New Roman"/>
          <w:szCs w:val="24"/>
        </w:rPr>
        <w:br/>
      </w:r>
      <w:r w:rsidRPr="00D8549E">
        <w:rPr>
          <w:rFonts w:ascii="Times New Roman" w:eastAsia="Times New Roman" w:hAnsi="Times New Roman"/>
          <w:szCs w:val="24"/>
        </w:rPr>
        <w:br/>
        <w:t xml:space="preserve">Examples: (a) hair and nail clippings in a </w:t>
      </w:r>
      <w:proofErr w:type="spellStart"/>
      <w:r w:rsidRPr="00D8549E">
        <w:rPr>
          <w:rFonts w:ascii="Times New Roman" w:eastAsia="Times New Roman" w:hAnsi="Times New Roman"/>
          <w:szCs w:val="24"/>
        </w:rPr>
        <w:t>nondisfiguring</w:t>
      </w:r>
      <w:proofErr w:type="spellEnd"/>
      <w:r w:rsidRPr="00D8549E">
        <w:rPr>
          <w:rFonts w:ascii="Times New Roman" w:eastAsia="Times New Roman" w:hAnsi="Times New Roman"/>
          <w:szCs w:val="24"/>
        </w:rPr>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Pr="00D8549E">
        <w:rPr>
          <w:rFonts w:ascii="Times New Roman" w:eastAsia="Times New Roman" w:hAnsi="Times New Roman"/>
          <w:szCs w:val="24"/>
        </w:rPr>
        <w:t>uncannulated</w:t>
      </w:r>
      <w:proofErr w:type="spellEnd"/>
      <w:r w:rsidRPr="00D8549E">
        <w:rPr>
          <w:rFonts w:ascii="Times New Roman" w:eastAsia="Times New Roman" w:hAnsi="Times New Roman"/>
          <w:szCs w:val="24"/>
        </w:rPr>
        <w:t xml:space="preserve"> saliva collected either in an unstimulated fashion or stimulated by chewing </w:t>
      </w:r>
      <w:proofErr w:type="spellStart"/>
      <w:r w:rsidRPr="00D8549E">
        <w:rPr>
          <w:rFonts w:ascii="Times New Roman" w:eastAsia="Times New Roman" w:hAnsi="Times New Roman"/>
          <w:szCs w:val="24"/>
        </w:rPr>
        <w:t>gumbase</w:t>
      </w:r>
      <w:proofErr w:type="spellEnd"/>
      <w:r w:rsidRPr="00D8549E">
        <w:rPr>
          <w:rFonts w:ascii="Times New Roman" w:eastAsia="Times New Roman" w:hAnsi="Times New Roman"/>
          <w:szCs w:val="24"/>
        </w:rPr>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35EEE7E0" w14:textId="77777777" w:rsidR="00486A56" w:rsidRPr="00D8549E" w:rsidRDefault="00486A56" w:rsidP="00D8549E">
      <w:pPr>
        <w:ind w:left="1440" w:hanging="360"/>
        <w:rPr>
          <w:rFonts w:ascii="Times New Roman" w:eastAsia="Times New Roman" w:hAnsi="Times New Roman"/>
          <w:szCs w:val="24"/>
        </w:rPr>
      </w:pPr>
    </w:p>
    <w:p w14:paraId="0084ECC2" w14:textId="5B7DFA54" w:rsidR="005B3847" w:rsidRPr="00D8549E" w:rsidRDefault="005B3847">
      <w:pPr>
        <w:ind w:left="1440" w:hanging="360"/>
        <w:rPr>
          <w:rFonts w:ascii="Times New Roman" w:eastAsia="Times New Roman" w:hAnsi="Times New Roman"/>
          <w:szCs w:val="24"/>
        </w:rPr>
      </w:pPr>
      <w:r w:rsidRPr="00D8549E">
        <w:rPr>
          <w:rFonts w:ascii="Times New Roman" w:eastAsia="Times New Roman" w:hAnsi="Times New Roman"/>
          <w:szCs w:val="24"/>
        </w:rPr>
        <w:t>4)</w:t>
      </w:r>
      <w:r w:rsidRPr="00D8549E">
        <w:rPr>
          <w:rFonts w:ascii="Times New Roman" w:eastAsia="Times New Roman" w:hAnsi="Times New Roman"/>
          <w:szCs w:val="24"/>
        </w:rPr>
        <w:tab/>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r w:rsidRPr="00D8549E">
        <w:rPr>
          <w:rFonts w:ascii="Times New Roman" w:eastAsia="Times New Roman" w:hAnsi="Times New Roman"/>
          <w:szCs w:val="24"/>
        </w:rPr>
        <w:br/>
      </w:r>
      <w:r w:rsidRPr="00D8549E">
        <w:rPr>
          <w:rFonts w:ascii="Times New Roman" w:eastAsia="Times New Roman" w:hAnsi="Times New Roman"/>
          <w:szCs w:val="24"/>
        </w:rPr>
        <w:br/>
        <w:t>Examples: (a) physical sensors that are applied either to the surface of the body or at a distance and do not involve input of significant amounts of energy into the subject or an invasion of the subject</w:t>
      </w:r>
      <w:r w:rsidR="00D8549E">
        <w:rPr>
          <w:rFonts w:ascii="Times New Roman" w:eastAsia="Times New Roman" w:hAnsi="Times New Roman"/>
          <w:szCs w:val="24"/>
        </w:rPr>
        <w:t>’</w:t>
      </w:r>
      <w:r w:rsidRPr="00D8549E">
        <w:rPr>
          <w:rFonts w:ascii="Times New Roman" w:eastAsia="Times New Roman" w:hAnsi="Times New Roman"/>
          <w:szCs w:val="24"/>
        </w:rPr>
        <w: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3404A0D9" w14:textId="77777777" w:rsidR="005B3847" w:rsidRPr="00D8549E" w:rsidRDefault="005B3847" w:rsidP="00D8549E">
      <w:pPr>
        <w:rPr>
          <w:rFonts w:ascii="Times New Roman" w:eastAsia="Times New Roman" w:hAnsi="Times New Roman"/>
          <w:szCs w:val="24"/>
        </w:rPr>
      </w:pPr>
    </w:p>
    <w:p w14:paraId="067B7525" w14:textId="424FFC7C" w:rsidR="005B3847" w:rsidRPr="00D8549E" w:rsidRDefault="005B3847" w:rsidP="00D8549E">
      <w:pPr>
        <w:ind w:left="1440" w:hanging="360"/>
        <w:rPr>
          <w:rFonts w:ascii="Times New Roman" w:eastAsia="Times New Roman" w:hAnsi="Times New Roman"/>
          <w:szCs w:val="24"/>
        </w:rPr>
      </w:pPr>
      <w:r w:rsidRPr="00D8549E">
        <w:rPr>
          <w:rFonts w:ascii="Times New Roman" w:eastAsia="Times New Roman" w:hAnsi="Times New Roman"/>
          <w:szCs w:val="24"/>
        </w:rPr>
        <w:t>5)</w:t>
      </w:r>
      <w:r w:rsidRPr="00D8549E">
        <w:rPr>
          <w:rFonts w:ascii="Times New Roman" w:eastAsia="Times New Roman" w:hAnsi="Times New Roman"/>
          <w:szCs w:val="24"/>
        </w:rPr>
        <w:tab/>
        <w:t xml:space="preserve">Research involving materials (data, documents, records, or specimens) that have been collected, or will be collected solely for </w:t>
      </w:r>
      <w:proofErr w:type="spellStart"/>
      <w:r w:rsidRPr="00D8549E">
        <w:rPr>
          <w:rFonts w:ascii="Times New Roman" w:eastAsia="Times New Roman" w:hAnsi="Times New Roman"/>
          <w:szCs w:val="24"/>
        </w:rPr>
        <w:t>nonresearch</w:t>
      </w:r>
      <w:proofErr w:type="spellEnd"/>
      <w:r w:rsidRPr="00D8549E">
        <w:rPr>
          <w:rFonts w:ascii="Times New Roman" w:eastAsia="Times New Roman" w:hAnsi="Times New Roman"/>
          <w:szCs w:val="24"/>
        </w:rPr>
        <w:t xml:space="preserve"> purposes (such as medical treatment or diagnosis). (NOTE: Some research in this category may be exempt from the HHS regulations for the protection of human subjects</w:t>
      </w:r>
      <w:r w:rsidR="00AC0E6C">
        <w:rPr>
          <w:rFonts w:ascii="Times New Roman" w:eastAsia="Times New Roman" w:hAnsi="Times New Roman"/>
          <w:szCs w:val="24"/>
        </w:rPr>
        <w:t xml:space="preserve"> </w:t>
      </w:r>
      <w:r w:rsidR="00AC0E6C" w:rsidRPr="00E544D8">
        <w:rPr>
          <w:rFonts w:ascii="Times New Roman" w:eastAsia="Times New Roman" w:hAnsi="Times New Roman"/>
          <w:szCs w:val="24"/>
        </w:rPr>
        <w:t xml:space="preserve">previously found at 45 CFR 46.101(b)(4) </w:t>
      </w:r>
      <w:r w:rsidR="00AC0E6C" w:rsidRPr="00E544D8">
        <w:rPr>
          <w:rFonts w:ascii="Times New Roman" w:eastAsia="Times New Roman" w:hAnsi="Times New Roman"/>
          <w:szCs w:val="24"/>
        </w:rPr>
        <w:lastRenderedPageBreak/>
        <w:t xml:space="preserve">which is now found at </w:t>
      </w:r>
      <w:r w:rsidRPr="00E544D8">
        <w:rPr>
          <w:rFonts w:ascii="Times New Roman" w:eastAsia="Times New Roman" w:hAnsi="Times New Roman"/>
          <w:szCs w:val="24"/>
        </w:rPr>
        <w:t xml:space="preserve"> </w:t>
      </w:r>
      <w:hyperlink r:id="rId13" w:history="1">
        <w:r w:rsidRPr="00E544D8">
          <w:rPr>
            <w:rStyle w:val="Hyperlink"/>
            <w:rFonts w:ascii="Times New Roman" w:eastAsia="Times New Roman" w:hAnsi="Times New Roman"/>
            <w:szCs w:val="24"/>
          </w:rPr>
          <w:t>45 CFR 46.10</w:t>
        </w:r>
        <w:r w:rsidR="00701F21" w:rsidRPr="00E544D8">
          <w:rPr>
            <w:rStyle w:val="Hyperlink"/>
            <w:rFonts w:ascii="Times New Roman" w:eastAsia="Times New Roman" w:hAnsi="Times New Roman"/>
            <w:szCs w:val="24"/>
          </w:rPr>
          <w:t>4</w:t>
        </w:r>
        <w:r w:rsidRPr="00E544D8">
          <w:rPr>
            <w:rStyle w:val="Hyperlink"/>
            <w:rFonts w:ascii="Times New Roman" w:eastAsia="Times New Roman" w:hAnsi="Times New Roman"/>
            <w:szCs w:val="24"/>
          </w:rPr>
          <w:t>(</w:t>
        </w:r>
        <w:r w:rsidR="00701F21" w:rsidRPr="00E544D8">
          <w:rPr>
            <w:rStyle w:val="Hyperlink"/>
            <w:rFonts w:ascii="Times New Roman" w:eastAsia="Times New Roman" w:hAnsi="Times New Roman"/>
            <w:szCs w:val="24"/>
          </w:rPr>
          <w:t>d</w:t>
        </w:r>
        <w:r w:rsidRPr="00E544D8">
          <w:rPr>
            <w:rStyle w:val="Hyperlink"/>
            <w:rFonts w:ascii="Times New Roman" w:eastAsia="Times New Roman" w:hAnsi="Times New Roman"/>
            <w:szCs w:val="24"/>
          </w:rPr>
          <w:t>)(4)</w:t>
        </w:r>
      </w:hyperlink>
      <w:r w:rsidR="00AC0E6C" w:rsidRPr="00E544D8">
        <w:rPr>
          <w:rStyle w:val="Hyperlink"/>
          <w:rFonts w:ascii="Times New Roman" w:eastAsia="Times New Roman" w:hAnsi="Times New Roman"/>
          <w:szCs w:val="24"/>
        </w:rPr>
        <w:t xml:space="preserve"> </w:t>
      </w:r>
      <w:r w:rsidR="00AC0E6C" w:rsidRPr="00E544D8">
        <w:rPr>
          <w:rStyle w:val="Hyperlink"/>
          <w:rFonts w:ascii="Times New Roman" w:eastAsia="Times New Roman" w:hAnsi="Times New Roman"/>
          <w:color w:val="auto"/>
          <w:szCs w:val="24"/>
          <w:u w:val="none"/>
        </w:rPr>
        <w:t>under the revised Common Rule</w:t>
      </w:r>
      <w:r w:rsidRPr="00E544D8">
        <w:rPr>
          <w:rFonts w:ascii="Times New Roman" w:eastAsia="Times New Roman" w:hAnsi="Times New Roman"/>
          <w:szCs w:val="24"/>
        </w:rPr>
        <w:t>.</w:t>
      </w:r>
      <w:r w:rsidRPr="00D8549E">
        <w:rPr>
          <w:rFonts w:ascii="Times New Roman" w:eastAsia="Times New Roman" w:hAnsi="Times New Roman"/>
          <w:szCs w:val="24"/>
        </w:rPr>
        <w:t xml:space="preserve"> This listing refers only to research that is not exempt.)</w:t>
      </w:r>
    </w:p>
    <w:p w14:paraId="24C3A9B9" w14:textId="77777777" w:rsidR="005B3847" w:rsidRPr="00D8549E" w:rsidRDefault="005B3847" w:rsidP="00D8549E">
      <w:pPr>
        <w:rPr>
          <w:rFonts w:ascii="Times New Roman" w:eastAsia="Times New Roman" w:hAnsi="Times New Roman"/>
          <w:szCs w:val="24"/>
        </w:rPr>
      </w:pPr>
    </w:p>
    <w:p w14:paraId="4949B56E" w14:textId="0152F414" w:rsidR="005B3847" w:rsidRDefault="005B3847" w:rsidP="00D8549E">
      <w:pPr>
        <w:ind w:left="1440" w:hanging="360"/>
        <w:rPr>
          <w:rFonts w:ascii="Times New Roman" w:eastAsia="Times New Roman" w:hAnsi="Times New Roman"/>
          <w:szCs w:val="24"/>
        </w:rPr>
      </w:pPr>
      <w:r w:rsidRPr="00D8549E">
        <w:rPr>
          <w:rFonts w:ascii="Times New Roman" w:eastAsia="Times New Roman" w:hAnsi="Times New Roman"/>
          <w:szCs w:val="24"/>
        </w:rPr>
        <w:t>6)</w:t>
      </w:r>
      <w:r w:rsidRPr="00D8549E">
        <w:rPr>
          <w:rFonts w:ascii="Times New Roman" w:eastAsia="Times New Roman" w:hAnsi="Times New Roman"/>
          <w:szCs w:val="24"/>
        </w:rPr>
        <w:tab/>
        <w:t>Collection of data from voice, video, digital, or image recordings made for research purposes.</w:t>
      </w:r>
    </w:p>
    <w:p w14:paraId="64B682C2" w14:textId="77777777" w:rsidR="00D8549E" w:rsidRPr="00D8549E" w:rsidRDefault="00D8549E" w:rsidP="00D8549E">
      <w:pPr>
        <w:ind w:left="1440" w:hanging="360"/>
        <w:rPr>
          <w:rFonts w:ascii="Times New Roman" w:eastAsia="Times New Roman" w:hAnsi="Times New Roman"/>
          <w:szCs w:val="24"/>
        </w:rPr>
      </w:pPr>
    </w:p>
    <w:p w14:paraId="44466DB3" w14:textId="758D1588" w:rsidR="002D2ED6" w:rsidRPr="00D8549E" w:rsidRDefault="005B3847">
      <w:pPr>
        <w:pStyle w:val="Header"/>
        <w:tabs>
          <w:tab w:val="clear" w:pos="4320"/>
          <w:tab w:val="clear" w:pos="8640"/>
        </w:tabs>
        <w:ind w:left="1440" w:hanging="360"/>
        <w:rPr>
          <w:sz w:val="24"/>
          <w:szCs w:val="24"/>
        </w:rPr>
      </w:pPr>
      <w:r w:rsidRPr="00D8549E">
        <w:rPr>
          <w:sz w:val="24"/>
          <w:szCs w:val="24"/>
        </w:rPr>
        <w:t>7)</w:t>
      </w:r>
      <w:r w:rsidRPr="00D8549E">
        <w:rPr>
          <w:sz w:val="24"/>
          <w:szCs w:val="24"/>
        </w:rPr>
        <w:tab/>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w:t>
      </w:r>
      <w:r w:rsidR="00AC0E6C">
        <w:rPr>
          <w:sz w:val="24"/>
          <w:szCs w:val="24"/>
        </w:rPr>
        <w:t xml:space="preserve"> </w:t>
      </w:r>
      <w:r w:rsidR="00AC0E6C" w:rsidRPr="00E544D8">
        <w:rPr>
          <w:sz w:val="24"/>
          <w:szCs w:val="24"/>
        </w:rPr>
        <w:t>previously found at 45 CFR 46.101(b)(2) and (b)(3) which is now found at</w:t>
      </w:r>
      <w:r w:rsidRPr="00E544D8">
        <w:rPr>
          <w:sz w:val="24"/>
          <w:szCs w:val="24"/>
        </w:rPr>
        <w:t xml:space="preserve"> </w:t>
      </w:r>
      <w:hyperlink r:id="rId14" w:history="1">
        <w:r w:rsidRPr="00E544D8">
          <w:rPr>
            <w:rStyle w:val="Hyperlink"/>
            <w:sz w:val="24"/>
            <w:szCs w:val="24"/>
          </w:rPr>
          <w:t>45 CFR 46.10</w:t>
        </w:r>
        <w:r w:rsidR="00701F21" w:rsidRPr="00E544D8">
          <w:rPr>
            <w:rStyle w:val="Hyperlink"/>
            <w:sz w:val="24"/>
            <w:szCs w:val="24"/>
          </w:rPr>
          <w:t>4</w:t>
        </w:r>
        <w:r w:rsidRPr="00E544D8">
          <w:rPr>
            <w:rStyle w:val="Hyperlink"/>
            <w:sz w:val="24"/>
            <w:szCs w:val="24"/>
          </w:rPr>
          <w:t>(</w:t>
        </w:r>
        <w:r w:rsidR="00701F21" w:rsidRPr="00E544D8">
          <w:rPr>
            <w:rStyle w:val="Hyperlink"/>
            <w:sz w:val="24"/>
            <w:szCs w:val="24"/>
          </w:rPr>
          <w:t>d</w:t>
        </w:r>
        <w:r w:rsidRPr="00E544D8">
          <w:rPr>
            <w:rStyle w:val="Hyperlink"/>
            <w:sz w:val="24"/>
            <w:szCs w:val="24"/>
          </w:rPr>
          <w:t>)(2)</w:t>
        </w:r>
      </w:hyperlink>
      <w:r w:rsidRPr="00E544D8">
        <w:rPr>
          <w:sz w:val="24"/>
          <w:szCs w:val="24"/>
        </w:rPr>
        <w:t xml:space="preserve"> and (</w:t>
      </w:r>
      <w:r w:rsidR="00701F21" w:rsidRPr="00E544D8">
        <w:rPr>
          <w:sz w:val="24"/>
          <w:szCs w:val="24"/>
        </w:rPr>
        <w:t>d</w:t>
      </w:r>
      <w:r w:rsidRPr="00E544D8">
        <w:rPr>
          <w:sz w:val="24"/>
          <w:szCs w:val="24"/>
        </w:rPr>
        <w:t>)(3)</w:t>
      </w:r>
      <w:r w:rsidR="00AC0E6C" w:rsidRPr="00E544D8">
        <w:rPr>
          <w:sz w:val="24"/>
          <w:szCs w:val="24"/>
        </w:rPr>
        <w:t xml:space="preserve"> under the revised Common Rule</w:t>
      </w:r>
      <w:r w:rsidRPr="00E544D8">
        <w:rPr>
          <w:sz w:val="24"/>
          <w:szCs w:val="24"/>
        </w:rPr>
        <w:t>.</w:t>
      </w:r>
      <w:r w:rsidRPr="00D8549E">
        <w:rPr>
          <w:sz w:val="24"/>
          <w:szCs w:val="24"/>
        </w:rPr>
        <w:t xml:space="preserve"> This listing refers only to research that is not exempt.)</w:t>
      </w:r>
    </w:p>
    <w:p w14:paraId="527DC01E" w14:textId="77777777" w:rsidR="005B3847" w:rsidRDefault="005B3847" w:rsidP="00E312C2">
      <w:pPr>
        <w:pStyle w:val="Header"/>
        <w:tabs>
          <w:tab w:val="clear" w:pos="4320"/>
          <w:tab w:val="clear" w:pos="8640"/>
        </w:tabs>
        <w:ind w:left="720"/>
        <w:rPr>
          <w:sz w:val="24"/>
        </w:rPr>
      </w:pPr>
    </w:p>
    <w:p w14:paraId="3D402AF2" w14:textId="3E9E29BE" w:rsidR="005B3847" w:rsidRDefault="00DE51DD" w:rsidP="00DE51DD">
      <w:pPr>
        <w:pStyle w:val="Header"/>
        <w:tabs>
          <w:tab w:val="clear" w:pos="4320"/>
          <w:tab w:val="clear" w:pos="8640"/>
        </w:tabs>
        <w:ind w:left="1440" w:hanging="360"/>
        <w:rPr>
          <w:sz w:val="24"/>
        </w:rPr>
      </w:pPr>
      <w:r>
        <w:rPr>
          <w:sz w:val="24"/>
        </w:rPr>
        <w:t>8) For information regarding the expedited review procedure for continuing review, see SOP: Continuing Review of Research.</w:t>
      </w:r>
    </w:p>
    <w:p w14:paraId="34C0237F" w14:textId="77777777" w:rsidR="000448F8" w:rsidRDefault="000448F8" w:rsidP="00DE51DD">
      <w:pPr>
        <w:pStyle w:val="Header"/>
        <w:tabs>
          <w:tab w:val="clear" w:pos="4320"/>
          <w:tab w:val="clear" w:pos="8640"/>
        </w:tabs>
        <w:ind w:left="1440" w:hanging="360"/>
        <w:rPr>
          <w:sz w:val="24"/>
        </w:rPr>
      </w:pPr>
    </w:p>
    <w:p w14:paraId="4A1E7DC7" w14:textId="0ECC0F71" w:rsidR="000448F8" w:rsidRDefault="000448F8" w:rsidP="00DE51DD">
      <w:pPr>
        <w:pStyle w:val="Header"/>
        <w:tabs>
          <w:tab w:val="clear" w:pos="4320"/>
          <w:tab w:val="clear" w:pos="8640"/>
        </w:tabs>
        <w:ind w:left="1440" w:hanging="360"/>
        <w:rPr>
          <w:sz w:val="24"/>
        </w:rPr>
      </w:pPr>
      <w:r>
        <w:rPr>
          <w:sz w:val="24"/>
        </w:rPr>
        <w:t>9) Research for which limited IRB review is a condition of exemption.</w:t>
      </w:r>
    </w:p>
    <w:p w14:paraId="2CB03C83" w14:textId="77777777" w:rsidR="00DE51DD" w:rsidRDefault="00DE51DD" w:rsidP="00E312C2">
      <w:pPr>
        <w:pStyle w:val="Header"/>
        <w:tabs>
          <w:tab w:val="clear" w:pos="4320"/>
          <w:tab w:val="clear" w:pos="8640"/>
        </w:tabs>
        <w:ind w:left="720"/>
        <w:rPr>
          <w:sz w:val="24"/>
        </w:rPr>
      </w:pPr>
    </w:p>
    <w:p w14:paraId="3382EEEE" w14:textId="35EF866C" w:rsidR="00A80D95" w:rsidRDefault="00DE51DD" w:rsidP="00486A56">
      <w:pPr>
        <w:pStyle w:val="Header"/>
        <w:tabs>
          <w:tab w:val="clear" w:pos="4320"/>
          <w:tab w:val="clear" w:pos="8640"/>
        </w:tabs>
        <w:ind w:left="1170" w:hanging="450"/>
        <w:rPr>
          <w:sz w:val="24"/>
        </w:rPr>
      </w:pPr>
      <w:r>
        <w:rPr>
          <w:sz w:val="24"/>
        </w:rPr>
        <w:t>12</w:t>
      </w:r>
      <w:r w:rsidR="00A80D95">
        <w:rPr>
          <w:sz w:val="24"/>
        </w:rPr>
        <w:t xml:space="preserve">. </w:t>
      </w:r>
      <w:r w:rsidR="00A80D95">
        <w:rPr>
          <w:sz w:val="24"/>
        </w:rPr>
        <w:tab/>
      </w:r>
      <w:r>
        <w:rPr>
          <w:sz w:val="24"/>
        </w:rPr>
        <w:t>For information regarding the expedited review procedure for revisions, see SOP: Revisions in Approved Studies.</w:t>
      </w:r>
    </w:p>
    <w:p w14:paraId="4114E240" w14:textId="77777777" w:rsidR="00A80D95" w:rsidRDefault="00A80D95" w:rsidP="00E312C2">
      <w:pPr>
        <w:pStyle w:val="Header"/>
        <w:tabs>
          <w:tab w:val="clear" w:pos="4320"/>
          <w:tab w:val="clear" w:pos="8640"/>
        </w:tabs>
        <w:ind w:left="720"/>
        <w:rPr>
          <w:sz w:val="24"/>
        </w:rPr>
      </w:pPr>
    </w:p>
    <w:p w14:paraId="4099A9B4" w14:textId="0AF95F35" w:rsidR="00FE66E6" w:rsidRDefault="00DE51DD" w:rsidP="00486A56">
      <w:pPr>
        <w:pStyle w:val="Header"/>
        <w:tabs>
          <w:tab w:val="clear" w:pos="4320"/>
          <w:tab w:val="clear" w:pos="8640"/>
        </w:tabs>
        <w:ind w:left="1170" w:hanging="450"/>
        <w:rPr>
          <w:sz w:val="24"/>
        </w:rPr>
      </w:pPr>
      <w:r>
        <w:rPr>
          <w:sz w:val="24"/>
        </w:rPr>
        <w:t>13</w:t>
      </w:r>
      <w:r w:rsidR="00A80D95">
        <w:rPr>
          <w:sz w:val="24"/>
        </w:rPr>
        <w:t xml:space="preserve">. </w:t>
      </w:r>
      <w:r w:rsidR="00FE66E6">
        <w:rPr>
          <w:sz w:val="24"/>
        </w:rPr>
        <w:t xml:space="preserve">A copy of all correspondence concerning the expedited review will be </w:t>
      </w:r>
      <w:r>
        <w:rPr>
          <w:sz w:val="24"/>
        </w:rPr>
        <w:t>retained</w:t>
      </w:r>
      <w:r w:rsidR="00FE66E6">
        <w:rPr>
          <w:sz w:val="24"/>
        </w:rPr>
        <w:t xml:space="preserve"> in the IRB files for the study.</w:t>
      </w:r>
    </w:p>
    <w:p w14:paraId="6640256D" w14:textId="5F0E10CF" w:rsidR="00A80D95" w:rsidRDefault="00A80D95" w:rsidP="00E544D8">
      <w:pPr>
        <w:pStyle w:val="Header"/>
        <w:tabs>
          <w:tab w:val="clear" w:pos="4320"/>
          <w:tab w:val="clear" w:pos="8640"/>
        </w:tabs>
        <w:rPr>
          <w:sz w:val="24"/>
        </w:rPr>
      </w:pPr>
    </w:p>
    <w:p w14:paraId="45E8B604" w14:textId="70E9F637" w:rsidR="00A80D95" w:rsidRDefault="00DE51DD" w:rsidP="006205D1">
      <w:pPr>
        <w:pStyle w:val="Header"/>
        <w:tabs>
          <w:tab w:val="clear" w:pos="4320"/>
          <w:tab w:val="clear" w:pos="8640"/>
        </w:tabs>
        <w:ind w:left="1080" w:hanging="360"/>
        <w:rPr>
          <w:sz w:val="24"/>
        </w:rPr>
      </w:pPr>
      <w:r>
        <w:rPr>
          <w:sz w:val="24"/>
        </w:rPr>
        <w:t>14</w:t>
      </w:r>
      <w:r w:rsidR="00A80D95">
        <w:rPr>
          <w:sz w:val="24"/>
        </w:rPr>
        <w:t>. Documentation of IRB review and approval</w:t>
      </w:r>
      <w:r w:rsidR="00600A72">
        <w:rPr>
          <w:sz w:val="24"/>
        </w:rPr>
        <w:t xml:space="preserve">, approval pending response to administrative provisos, </w:t>
      </w:r>
      <w:r w:rsidR="00C5621F">
        <w:rPr>
          <w:sz w:val="24"/>
        </w:rPr>
        <w:t>and deferrals</w:t>
      </w:r>
      <w:r w:rsidR="00A80D95">
        <w:rPr>
          <w:sz w:val="24"/>
        </w:rPr>
        <w:t xml:space="preserve"> will be </w:t>
      </w:r>
      <w:r w:rsidR="00104E38">
        <w:rPr>
          <w:sz w:val="24"/>
        </w:rPr>
        <w:t>placed on the electronic meeting agenda and sent electronically to Board members before the Board meeting each applicable week when the agenda is finalized</w:t>
      </w:r>
      <w:r w:rsidR="00A80D95">
        <w:rPr>
          <w:sz w:val="24"/>
        </w:rPr>
        <w:t>.</w:t>
      </w:r>
      <w:r w:rsidR="00C5621F">
        <w:rPr>
          <w:sz w:val="24"/>
        </w:rPr>
        <w:t xml:space="preserve">  Also included will be the satisfaction by the investigator of conditions </w:t>
      </w:r>
      <w:r w:rsidR="00486A56">
        <w:rPr>
          <w:sz w:val="24"/>
        </w:rPr>
        <w:t>for</w:t>
      </w:r>
      <w:r w:rsidR="00C5621F">
        <w:rPr>
          <w:sz w:val="24"/>
        </w:rPr>
        <w:t xml:space="preserve"> IRB approval of research reviewed under an expedited review procedure, includin</w:t>
      </w:r>
      <w:r w:rsidR="00600A72">
        <w:rPr>
          <w:sz w:val="24"/>
        </w:rPr>
        <w:t xml:space="preserve">g the date when </w:t>
      </w:r>
      <w:r w:rsidR="00AC0E6C" w:rsidRPr="00E544D8">
        <w:rPr>
          <w:sz w:val="24"/>
        </w:rPr>
        <w:t>an</w:t>
      </w:r>
      <w:r w:rsidR="00600A72" w:rsidRPr="00E544D8">
        <w:rPr>
          <w:sz w:val="24"/>
        </w:rPr>
        <w:t xml:space="preserve"> IRB Chair</w:t>
      </w:r>
      <w:r w:rsidR="00C5621F" w:rsidRPr="00E544D8">
        <w:rPr>
          <w:sz w:val="24"/>
        </w:rPr>
        <w:t>, Director,</w:t>
      </w:r>
      <w:r w:rsidR="00C5621F">
        <w:rPr>
          <w:sz w:val="24"/>
        </w:rPr>
        <w:t xml:space="preserve"> Regulatory Specialist, IRB Administrator, other qualified </w:t>
      </w:r>
      <w:r w:rsidR="00EB435C">
        <w:rPr>
          <w:sz w:val="24"/>
        </w:rPr>
        <w:t>IRB administrative staff person, or other designated IRB senior member determines that all conditions of IRB approval have been satisfied, the date when initial approval becomes effective, and the date by which continuing review must occur</w:t>
      </w:r>
      <w:r w:rsidR="000B319F">
        <w:rPr>
          <w:sz w:val="24"/>
        </w:rPr>
        <w:t>, if the expedited reviewer requires</w:t>
      </w:r>
      <w:r w:rsidR="00C52BDE">
        <w:rPr>
          <w:sz w:val="24"/>
        </w:rPr>
        <w:t xml:space="preserve"> </w:t>
      </w:r>
      <w:r w:rsidR="009B6D9A">
        <w:rPr>
          <w:sz w:val="24"/>
        </w:rPr>
        <w:t>continuing review</w:t>
      </w:r>
      <w:r w:rsidR="003015D3">
        <w:rPr>
          <w:sz w:val="24"/>
        </w:rPr>
        <w:t>, or if otherwise required by regulation</w:t>
      </w:r>
      <w:r w:rsidR="00FD7BA9">
        <w:rPr>
          <w:sz w:val="24"/>
        </w:rPr>
        <w:t xml:space="preserve"> (e.g., FDA-regulated, </w:t>
      </w:r>
      <w:proofErr w:type="spellStart"/>
      <w:r w:rsidR="00FD7BA9">
        <w:rPr>
          <w:sz w:val="24"/>
        </w:rPr>
        <w:t>DoJ</w:t>
      </w:r>
      <w:proofErr w:type="spellEnd"/>
      <w:r w:rsidR="00FD7BA9">
        <w:rPr>
          <w:sz w:val="24"/>
        </w:rPr>
        <w:t xml:space="preserve">-funded) or a condition of grant or contract. See </w:t>
      </w:r>
      <w:r w:rsidR="00C52BDE">
        <w:rPr>
          <w:sz w:val="24"/>
        </w:rPr>
        <w:t>UTHSC</w:t>
      </w:r>
      <w:r w:rsidR="00FD7BA9">
        <w:rPr>
          <w:sz w:val="24"/>
        </w:rPr>
        <w:t>’s</w:t>
      </w:r>
      <w:r w:rsidR="00C52BDE">
        <w:rPr>
          <w:sz w:val="24"/>
        </w:rPr>
        <w:t xml:space="preserve"> “Continuing Review of Research” Policy for further detail</w:t>
      </w:r>
      <w:r w:rsidR="003015D3">
        <w:rPr>
          <w:sz w:val="24"/>
        </w:rPr>
        <w:t>)</w:t>
      </w:r>
      <w:r w:rsidR="00C52BDE">
        <w:rPr>
          <w:sz w:val="24"/>
        </w:rPr>
        <w:t xml:space="preserve">. </w:t>
      </w:r>
      <w:r w:rsidR="000B319F">
        <w:rPr>
          <w:sz w:val="24"/>
        </w:rPr>
        <w:t xml:space="preserve"> </w:t>
      </w:r>
    </w:p>
    <w:p w14:paraId="0B9B951E" w14:textId="77777777" w:rsidR="00A80D95" w:rsidRPr="00D8549E" w:rsidRDefault="00A80D95" w:rsidP="008A50F3">
      <w:pPr>
        <w:ind w:left="1080" w:hanging="360"/>
        <w:rPr>
          <w:rFonts w:ascii="Times New Roman" w:hAnsi="Times New Roman"/>
        </w:rPr>
      </w:pPr>
    </w:p>
    <w:p w14:paraId="190C282C" w14:textId="076AA2C3" w:rsidR="00DE51DD" w:rsidRPr="00D8549E" w:rsidRDefault="008A50F3" w:rsidP="008A50F3">
      <w:pPr>
        <w:ind w:left="1080" w:hanging="360"/>
        <w:rPr>
          <w:rFonts w:ascii="Times New Roman" w:hAnsi="Times New Roman"/>
        </w:rPr>
      </w:pPr>
      <w:r w:rsidRPr="00D8549E">
        <w:rPr>
          <w:rFonts w:ascii="Times New Roman" w:hAnsi="Times New Roman"/>
        </w:rPr>
        <w:t>15.</w:t>
      </w:r>
      <w:r w:rsidRPr="00D8549E">
        <w:rPr>
          <w:rFonts w:ascii="Times New Roman" w:hAnsi="Times New Roman"/>
        </w:rPr>
        <w:tab/>
        <w:t xml:space="preserve">A copy of the </w:t>
      </w:r>
      <w:r w:rsidR="00104E38">
        <w:rPr>
          <w:rFonts w:ascii="Times New Roman" w:hAnsi="Times New Roman"/>
        </w:rPr>
        <w:t>finalized agenda</w:t>
      </w:r>
      <w:r w:rsidRPr="00D8549E">
        <w:rPr>
          <w:rFonts w:ascii="Times New Roman" w:hAnsi="Times New Roman"/>
        </w:rPr>
        <w:t xml:space="preserve"> is provided to the Vice Chancellor for Research</w:t>
      </w:r>
      <w:r w:rsidR="0002326E">
        <w:rPr>
          <w:rFonts w:ascii="Times New Roman" w:hAnsi="Times New Roman"/>
        </w:rPr>
        <w:t xml:space="preserve"> </w:t>
      </w:r>
      <w:r w:rsidRPr="00D8549E">
        <w:rPr>
          <w:rFonts w:ascii="Times New Roman" w:hAnsi="Times New Roman"/>
        </w:rPr>
        <w:t xml:space="preserve">in fulfillment of the regulatory requirement to communicate the IRB’s findings and actions to the institution in writing </w:t>
      </w:r>
      <w:r w:rsidRPr="00E544D8">
        <w:rPr>
          <w:rFonts w:ascii="Times New Roman" w:hAnsi="Times New Roman"/>
        </w:rPr>
        <w:t>(</w:t>
      </w:r>
      <w:r w:rsidR="00AC0E6C" w:rsidRPr="00E544D8">
        <w:rPr>
          <w:rFonts w:ascii="Times New Roman" w:hAnsi="Times New Roman"/>
        </w:rPr>
        <w:t xml:space="preserve">previously found at 45 </w:t>
      </w:r>
      <w:r w:rsidR="00AC0E6C" w:rsidRPr="00E544D8">
        <w:rPr>
          <w:rFonts w:ascii="Times New Roman" w:hAnsi="Times New Roman"/>
        </w:rPr>
        <w:lastRenderedPageBreak/>
        <w:t xml:space="preserve">CFR 103(a)(4)(i), now found at </w:t>
      </w:r>
      <w:r w:rsidRPr="00E544D8">
        <w:rPr>
          <w:rFonts w:ascii="Times New Roman" w:hAnsi="Times New Roman"/>
        </w:rPr>
        <w:t>45 CFR 46.10</w:t>
      </w:r>
      <w:r w:rsidR="00701F21" w:rsidRPr="00E544D8">
        <w:rPr>
          <w:rFonts w:ascii="Times New Roman" w:hAnsi="Times New Roman"/>
        </w:rPr>
        <w:t>8</w:t>
      </w:r>
      <w:r w:rsidRPr="00E544D8">
        <w:rPr>
          <w:rFonts w:ascii="Times New Roman" w:hAnsi="Times New Roman"/>
        </w:rPr>
        <w:t>(</w:t>
      </w:r>
      <w:r w:rsidR="00701F21" w:rsidRPr="00E544D8">
        <w:rPr>
          <w:rFonts w:ascii="Times New Roman" w:hAnsi="Times New Roman"/>
        </w:rPr>
        <w:t>a</w:t>
      </w:r>
      <w:r w:rsidRPr="00E544D8">
        <w:rPr>
          <w:rFonts w:ascii="Times New Roman" w:hAnsi="Times New Roman"/>
        </w:rPr>
        <w:t>)(</w:t>
      </w:r>
      <w:r w:rsidR="00701F21" w:rsidRPr="00E544D8">
        <w:rPr>
          <w:rFonts w:ascii="Times New Roman" w:hAnsi="Times New Roman"/>
        </w:rPr>
        <w:t>3</w:t>
      </w:r>
      <w:r w:rsidRPr="00E544D8">
        <w:rPr>
          <w:rFonts w:ascii="Times New Roman" w:hAnsi="Times New Roman"/>
        </w:rPr>
        <w:t>)(i)</w:t>
      </w:r>
      <w:r w:rsidR="00AC0E6C" w:rsidRPr="00E544D8">
        <w:rPr>
          <w:rFonts w:ascii="Times New Roman" w:hAnsi="Times New Roman"/>
        </w:rPr>
        <w:t xml:space="preserve"> in the revised Common Rule</w:t>
      </w:r>
      <w:r w:rsidR="00486A56" w:rsidRPr="00E544D8">
        <w:rPr>
          <w:rFonts w:ascii="Times New Roman" w:hAnsi="Times New Roman"/>
        </w:rPr>
        <w:t>)</w:t>
      </w:r>
      <w:r w:rsidRPr="00E544D8">
        <w:rPr>
          <w:rFonts w:ascii="Times New Roman" w:hAnsi="Times New Roman"/>
        </w:rPr>
        <w:t>.</w:t>
      </w:r>
    </w:p>
    <w:sectPr w:rsidR="00DE51DD" w:rsidRPr="00D8549E" w:rsidSect="006205D1">
      <w:headerReference w:type="default" r:id="rId15"/>
      <w:footerReference w:type="even" r:id="rId16"/>
      <w:footerReference w:type="default" r:id="rId17"/>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27D5" w14:textId="77777777" w:rsidR="00CA570D" w:rsidRDefault="00CA570D">
      <w:r>
        <w:separator/>
      </w:r>
    </w:p>
  </w:endnote>
  <w:endnote w:type="continuationSeparator" w:id="0">
    <w:p w14:paraId="3281301B" w14:textId="77777777" w:rsidR="00CA570D" w:rsidRDefault="00CA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57A1" w14:textId="77777777" w:rsidR="00DE51DD" w:rsidRDefault="00DE51DD">
    <w:pPr>
      <w:pStyle w:val="Footer"/>
      <w:framePr w:wrap="around" w:vAnchor="text" w:hAnchor="margin" w:xAlign="right" w:y="1"/>
      <w:rPr>
        <w:rStyle w:val="PageNumber"/>
        <w:rFonts w:ascii="Times" w:eastAsia="Times" w:hAnsi="Times"/>
        <w:sz w:val="24"/>
      </w:rPr>
    </w:pPr>
    <w:r>
      <w:rPr>
        <w:rStyle w:val="PageNumber"/>
      </w:rPr>
      <w:fldChar w:fldCharType="begin"/>
    </w:r>
    <w:r>
      <w:rPr>
        <w:rStyle w:val="PageNumber"/>
      </w:rPr>
      <w:instrText xml:space="preserve">PAGE  </w:instrText>
    </w:r>
    <w:r>
      <w:rPr>
        <w:rStyle w:val="PageNumber"/>
      </w:rPr>
      <w:fldChar w:fldCharType="end"/>
    </w:r>
  </w:p>
  <w:p w14:paraId="70ABA86E" w14:textId="77777777" w:rsidR="00DE51DD" w:rsidRDefault="00DE5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4A05" w14:textId="2BCCA0CC" w:rsidR="00DE51DD" w:rsidRDefault="00DE51DD">
    <w:pPr>
      <w:pStyle w:val="Footer"/>
      <w:framePr w:wrap="around" w:vAnchor="text" w:hAnchor="margin" w:xAlign="right" w:y="1"/>
      <w:rPr>
        <w:rStyle w:val="PageNumber"/>
        <w:rFonts w:ascii="Times" w:eastAsia="Times" w:hAnsi="Times"/>
        <w:sz w:val="24"/>
      </w:rPr>
    </w:pPr>
    <w:r>
      <w:rPr>
        <w:rStyle w:val="PageNumber"/>
      </w:rPr>
      <w:fldChar w:fldCharType="begin"/>
    </w:r>
    <w:r>
      <w:rPr>
        <w:rStyle w:val="PageNumber"/>
      </w:rPr>
      <w:instrText xml:space="preserve">PAGE  </w:instrText>
    </w:r>
    <w:r>
      <w:rPr>
        <w:rStyle w:val="PageNumber"/>
      </w:rPr>
      <w:fldChar w:fldCharType="separate"/>
    </w:r>
    <w:r w:rsidR="00593E93">
      <w:rPr>
        <w:rStyle w:val="PageNumber"/>
        <w:noProof/>
      </w:rPr>
      <w:t>7</w:t>
    </w:r>
    <w:r>
      <w:rPr>
        <w:rStyle w:val="PageNumber"/>
      </w:rPr>
      <w:fldChar w:fldCharType="end"/>
    </w:r>
  </w:p>
  <w:p w14:paraId="637389D1" w14:textId="77777777" w:rsidR="00DE51DD" w:rsidRDefault="00DE51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82F9" w14:textId="77777777" w:rsidR="00CA570D" w:rsidRDefault="00CA570D">
      <w:r>
        <w:separator/>
      </w:r>
    </w:p>
  </w:footnote>
  <w:footnote w:type="continuationSeparator" w:id="0">
    <w:p w14:paraId="505AA65D" w14:textId="77777777" w:rsidR="00CA570D" w:rsidRDefault="00CA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5096" w14:textId="77777777" w:rsidR="00DE51DD" w:rsidRDefault="00DE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13"/>
    <w:multiLevelType w:val="multilevel"/>
    <w:tmpl w:val="30685108"/>
    <w:lvl w:ilvl="0">
      <w:start w:val="1"/>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1302481"/>
    <w:multiLevelType w:val="multilevel"/>
    <w:tmpl w:val="A932951C"/>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Roman"/>
      <w:lvlText w:val="%2."/>
      <w:lvlJc w:val="left"/>
      <w:pPr>
        <w:tabs>
          <w:tab w:val="num" w:pos="2880"/>
        </w:tabs>
        <w:ind w:left="2880" w:hanging="720"/>
      </w:pPr>
      <w:rPr>
        <w:rFonts w:hint="default"/>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pStyle w:val="Heading5"/>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2BB56EDD"/>
    <w:multiLevelType w:val="multilevel"/>
    <w:tmpl w:val="CA546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2D4138D"/>
    <w:multiLevelType w:val="multilevel"/>
    <w:tmpl w:val="48FEB20A"/>
    <w:lvl w:ilvl="0">
      <w:start w:val="1"/>
      <w:numFmt w:val="decimal"/>
      <w:pStyle w:val="Heading1"/>
      <w:lvlText w:val="%1. "/>
      <w:lvlJc w:val="left"/>
      <w:pPr>
        <w:tabs>
          <w:tab w:val="num" w:pos="720"/>
        </w:tabs>
        <w:ind w:left="720" w:hanging="720"/>
      </w:pPr>
      <w:rPr>
        <w:rFonts w:ascii="Times New Roman" w:hAnsi="Times New Roman" w:hint="default"/>
        <w:b/>
        <w:i w:val="0"/>
        <w:sz w:val="24"/>
        <w:u w:val="none"/>
      </w:rPr>
    </w:lvl>
    <w:lvl w:ilvl="1">
      <w:start w:val="1"/>
      <w:numFmt w:val="decimal"/>
      <w:pStyle w:val="Heading2"/>
      <w:lvlText w:val="%1.%2."/>
      <w:lvlJc w:val="left"/>
      <w:pPr>
        <w:tabs>
          <w:tab w:val="num" w:pos="1440"/>
        </w:tabs>
        <w:ind w:left="1440" w:hanging="720"/>
      </w:pPr>
      <w:rPr>
        <w:rFonts w:hint="default"/>
        <w:b/>
        <w:i w:val="0"/>
      </w:rPr>
    </w:lvl>
    <w:lvl w:ilvl="2">
      <w:start w:val="1"/>
      <w:numFmt w:val="decimal"/>
      <w:lvlRestart w:val="0"/>
      <w:lvlText w:val="%1.%2.%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4B400C2"/>
    <w:multiLevelType w:val="multilevel"/>
    <w:tmpl w:val="E74ABD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7CE3554"/>
    <w:multiLevelType w:val="multilevel"/>
    <w:tmpl w:val="321A759A"/>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5"/>
      <w:numFmt w:val="lowerLetter"/>
      <w:lvlText w:val="%2."/>
      <w:lvlJc w:val="left"/>
      <w:pPr>
        <w:tabs>
          <w:tab w:val="num" w:pos="2520"/>
        </w:tabs>
        <w:ind w:left="2520" w:hanging="360"/>
      </w:pPr>
      <w:rPr>
        <w:rFonts w:hint="default"/>
        <w:b/>
        <w:i w:val="0"/>
        <w:sz w:val="24"/>
        <w:u w:val="none"/>
      </w:rPr>
    </w:lvl>
    <w:lvl w:ilvl="2">
      <w:start w:val="1"/>
      <w:numFmt w:val="lowerRoman"/>
      <w:lvlRestart w:val="0"/>
      <w:lvlText w:val="%3."/>
      <w:lvlJc w:val="left"/>
      <w:pPr>
        <w:tabs>
          <w:tab w:val="num" w:pos="3600"/>
        </w:tabs>
        <w:ind w:left="3600" w:hanging="720"/>
      </w:pPr>
      <w:rPr>
        <w:rFonts w:hint="default"/>
      </w:rPr>
    </w:lvl>
    <w:lvl w:ilvl="3">
      <w:start w:val="1"/>
      <w:numFmt w:val="decimal"/>
      <w:pStyle w:val="Heading4"/>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64682A64"/>
    <w:multiLevelType w:val="multilevel"/>
    <w:tmpl w:val="0C30CF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57454C5"/>
    <w:multiLevelType w:val="multilevel"/>
    <w:tmpl w:val="81A28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41220082">
    <w:abstractNumId w:val="4"/>
  </w:num>
  <w:num w:numId="2" w16cid:durableId="1116485522">
    <w:abstractNumId w:val="3"/>
  </w:num>
  <w:num w:numId="3" w16cid:durableId="2013213998">
    <w:abstractNumId w:val="0"/>
  </w:num>
  <w:num w:numId="4" w16cid:durableId="2071613296">
    <w:abstractNumId w:val="5"/>
  </w:num>
  <w:num w:numId="5" w16cid:durableId="1614703687">
    <w:abstractNumId w:val="1"/>
  </w:num>
  <w:num w:numId="6" w16cid:durableId="1122263311">
    <w:abstractNumId w:val="7"/>
  </w:num>
  <w:num w:numId="7" w16cid:durableId="1452824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5352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0503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0923418">
    <w:abstractNumId w:val="6"/>
  </w:num>
  <w:num w:numId="11" w16cid:durableId="542521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0FC"/>
    <w:rsid w:val="0002326E"/>
    <w:rsid w:val="000448F8"/>
    <w:rsid w:val="000A5143"/>
    <w:rsid w:val="000B319F"/>
    <w:rsid w:val="00104E38"/>
    <w:rsid w:val="00131006"/>
    <w:rsid w:val="00137B6F"/>
    <w:rsid w:val="00151875"/>
    <w:rsid w:val="001B359F"/>
    <w:rsid w:val="00206532"/>
    <w:rsid w:val="00240351"/>
    <w:rsid w:val="002665A2"/>
    <w:rsid w:val="002701A9"/>
    <w:rsid w:val="002942C2"/>
    <w:rsid w:val="002A1239"/>
    <w:rsid w:val="002D292C"/>
    <w:rsid w:val="002D2ED6"/>
    <w:rsid w:val="002D6048"/>
    <w:rsid w:val="003015D3"/>
    <w:rsid w:val="00306009"/>
    <w:rsid w:val="0031090C"/>
    <w:rsid w:val="00364B88"/>
    <w:rsid w:val="0038175C"/>
    <w:rsid w:val="00387716"/>
    <w:rsid w:val="00390B37"/>
    <w:rsid w:val="00395C0F"/>
    <w:rsid w:val="003B6D53"/>
    <w:rsid w:val="003C71DB"/>
    <w:rsid w:val="00422F65"/>
    <w:rsid w:val="004672FF"/>
    <w:rsid w:val="004840FC"/>
    <w:rsid w:val="00486A56"/>
    <w:rsid w:val="0049297D"/>
    <w:rsid w:val="004C7B68"/>
    <w:rsid w:val="004E39ED"/>
    <w:rsid w:val="004F4EEA"/>
    <w:rsid w:val="00500FA1"/>
    <w:rsid w:val="0050728E"/>
    <w:rsid w:val="00510F35"/>
    <w:rsid w:val="0052471F"/>
    <w:rsid w:val="0053346E"/>
    <w:rsid w:val="00593E93"/>
    <w:rsid w:val="005B3847"/>
    <w:rsid w:val="005C1299"/>
    <w:rsid w:val="00600A72"/>
    <w:rsid w:val="006205D1"/>
    <w:rsid w:val="00624B52"/>
    <w:rsid w:val="0063178C"/>
    <w:rsid w:val="00635FB8"/>
    <w:rsid w:val="006A64D8"/>
    <w:rsid w:val="006F14B5"/>
    <w:rsid w:val="00701F21"/>
    <w:rsid w:val="0072492F"/>
    <w:rsid w:val="0076545B"/>
    <w:rsid w:val="007B3743"/>
    <w:rsid w:val="008334EB"/>
    <w:rsid w:val="00851155"/>
    <w:rsid w:val="00852459"/>
    <w:rsid w:val="00886521"/>
    <w:rsid w:val="0089265E"/>
    <w:rsid w:val="008926DA"/>
    <w:rsid w:val="008A50F3"/>
    <w:rsid w:val="00902BD6"/>
    <w:rsid w:val="00915319"/>
    <w:rsid w:val="009A7E31"/>
    <w:rsid w:val="009B6D9A"/>
    <w:rsid w:val="009E16D4"/>
    <w:rsid w:val="009F2291"/>
    <w:rsid w:val="00A253C1"/>
    <w:rsid w:val="00A556DD"/>
    <w:rsid w:val="00A6729F"/>
    <w:rsid w:val="00A80D95"/>
    <w:rsid w:val="00AC0E6C"/>
    <w:rsid w:val="00B0630B"/>
    <w:rsid w:val="00B66D83"/>
    <w:rsid w:val="00B82182"/>
    <w:rsid w:val="00B93BF6"/>
    <w:rsid w:val="00BC3948"/>
    <w:rsid w:val="00BF4F04"/>
    <w:rsid w:val="00C20FF9"/>
    <w:rsid w:val="00C522DC"/>
    <w:rsid w:val="00C52BDE"/>
    <w:rsid w:val="00C5621F"/>
    <w:rsid w:val="00CA570D"/>
    <w:rsid w:val="00CC1BC6"/>
    <w:rsid w:val="00CF4025"/>
    <w:rsid w:val="00CF48C6"/>
    <w:rsid w:val="00D22E47"/>
    <w:rsid w:val="00D522C7"/>
    <w:rsid w:val="00D568CF"/>
    <w:rsid w:val="00D8549E"/>
    <w:rsid w:val="00DB7604"/>
    <w:rsid w:val="00DC09B6"/>
    <w:rsid w:val="00DC2268"/>
    <w:rsid w:val="00DE51DD"/>
    <w:rsid w:val="00DF01B9"/>
    <w:rsid w:val="00E019B6"/>
    <w:rsid w:val="00E312C2"/>
    <w:rsid w:val="00E544D8"/>
    <w:rsid w:val="00E6569D"/>
    <w:rsid w:val="00E90E68"/>
    <w:rsid w:val="00E92C22"/>
    <w:rsid w:val="00EB0F62"/>
    <w:rsid w:val="00EB435C"/>
    <w:rsid w:val="00F05635"/>
    <w:rsid w:val="00F11493"/>
    <w:rsid w:val="00F31238"/>
    <w:rsid w:val="00FB19E5"/>
    <w:rsid w:val="00FD7AF0"/>
    <w:rsid w:val="00FD7BA9"/>
    <w:rsid w:val="00FE66E6"/>
    <w:rsid w:val="00FF53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1BDB98"/>
  <w15:docId w15:val="{D5D74B6C-5546-4B31-9454-45426686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B8"/>
    <w:rPr>
      <w:sz w:val="24"/>
    </w:rPr>
  </w:style>
  <w:style w:type="paragraph" w:styleId="Heading1">
    <w:name w:val="heading 1"/>
    <w:basedOn w:val="Normal"/>
    <w:next w:val="Normal"/>
    <w:qFormat/>
    <w:rsid w:val="00635FB8"/>
    <w:pPr>
      <w:keepNext/>
      <w:numPr>
        <w:numId w:val="2"/>
      </w:numPr>
      <w:outlineLvl w:val="0"/>
    </w:pPr>
    <w:rPr>
      <w:rFonts w:ascii="Times New Roman" w:eastAsia="Times New Roman" w:hAnsi="Times New Roman"/>
      <w:b/>
      <w:caps/>
      <w:kern w:val="32"/>
      <w:sz w:val="20"/>
    </w:rPr>
  </w:style>
  <w:style w:type="paragraph" w:styleId="Heading2">
    <w:name w:val="heading 2"/>
    <w:basedOn w:val="Normal"/>
    <w:next w:val="Normal"/>
    <w:qFormat/>
    <w:rsid w:val="00635FB8"/>
    <w:pPr>
      <w:keepNext/>
      <w:numPr>
        <w:ilvl w:val="1"/>
        <w:numId w:val="2"/>
      </w:numPr>
      <w:outlineLvl w:val="1"/>
    </w:pPr>
    <w:rPr>
      <w:rFonts w:ascii="Times New Roman" w:eastAsia="Times New Roman" w:hAnsi="Times New Roman"/>
      <w:b/>
      <w:sz w:val="20"/>
    </w:rPr>
  </w:style>
  <w:style w:type="paragraph" w:styleId="Heading3">
    <w:name w:val="heading 3"/>
    <w:basedOn w:val="Normal"/>
    <w:next w:val="Normal"/>
    <w:qFormat/>
    <w:rsid w:val="00635FB8"/>
    <w:pPr>
      <w:keepNext/>
      <w:outlineLvl w:val="2"/>
    </w:pPr>
    <w:rPr>
      <w:rFonts w:ascii="Times New Roman" w:eastAsia="Times New Roman" w:hAnsi="Times New Roman"/>
      <w:b/>
      <w:sz w:val="20"/>
    </w:rPr>
  </w:style>
  <w:style w:type="paragraph" w:styleId="Heading4">
    <w:name w:val="heading 4"/>
    <w:basedOn w:val="Normal"/>
    <w:next w:val="Normal"/>
    <w:qFormat/>
    <w:rsid w:val="00635FB8"/>
    <w:pPr>
      <w:keepNext/>
      <w:numPr>
        <w:ilvl w:val="3"/>
        <w:numId w:val="4"/>
      </w:numPr>
      <w:tabs>
        <w:tab w:val="num" w:pos="3024"/>
      </w:tabs>
      <w:ind w:left="3024"/>
      <w:outlineLvl w:val="3"/>
    </w:pPr>
    <w:rPr>
      <w:rFonts w:ascii="Times New Roman" w:eastAsia="Times New Roman" w:hAnsi="Times New Roman"/>
      <w:b/>
      <w:sz w:val="20"/>
    </w:rPr>
  </w:style>
  <w:style w:type="paragraph" w:styleId="Heading5">
    <w:name w:val="heading 5"/>
    <w:basedOn w:val="Normal"/>
    <w:next w:val="Normal"/>
    <w:qFormat/>
    <w:rsid w:val="00635FB8"/>
    <w:pPr>
      <w:numPr>
        <w:ilvl w:val="4"/>
        <w:numId w:val="5"/>
      </w:numPr>
      <w:tabs>
        <w:tab w:val="left" w:pos="3780"/>
      </w:tabs>
      <w:ind w:left="3600" w:hanging="720"/>
      <w:outlineLvl w:val="4"/>
    </w:pPr>
    <w:rPr>
      <w:rFonts w:ascii="Times New Roman" w:eastAsia="Times New Roman" w:hAnsi="Times New Roman"/>
      <w:sz w:val="20"/>
    </w:rPr>
  </w:style>
  <w:style w:type="paragraph" w:styleId="Heading6">
    <w:name w:val="heading 6"/>
    <w:basedOn w:val="Normal"/>
    <w:next w:val="Normal"/>
    <w:qFormat/>
    <w:rsid w:val="00635FB8"/>
    <w:pPr>
      <w:numPr>
        <w:ilvl w:val="5"/>
        <w:numId w:val="6"/>
      </w:numPr>
      <w:ind w:left="4507"/>
      <w:outlineLvl w:val="5"/>
    </w:pPr>
    <w:rPr>
      <w:rFonts w:ascii="Times New Roman" w:eastAsia="Times New Roman" w:hAnsi="Times New Roman"/>
      <w:sz w:val="20"/>
    </w:rPr>
  </w:style>
  <w:style w:type="paragraph" w:styleId="Heading7">
    <w:name w:val="heading 7"/>
    <w:basedOn w:val="Normal"/>
    <w:next w:val="Normal"/>
    <w:qFormat/>
    <w:rsid w:val="00635FB8"/>
    <w:pPr>
      <w:numPr>
        <w:ilvl w:val="6"/>
        <w:numId w:val="7"/>
      </w:numPr>
      <w:ind w:left="5760"/>
      <w:outlineLvl w:val="6"/>
    </w:pPr>
    <w:rPr>
      <w:rFonts w:ascii="Times New Roman" w:eastAsia="Times New Roman" w:hAnsi="Times New Roman"/>
      <w:sz w:val="20"/>
    </w:rPr>
  </w:style>
  <w:style w:type="paragraph" w:styleId="Heading8">
    <w:name w:val="heading 8"/>
    <w:basedOn w:val="Normal"/>
    <w:next w:val="Normal"/>
    <w:qFormat/>
    <w:rsid w:val="00635FB8"/>
    <w:pPr>
      <w:numPr>
        <w:ilvl w:val="7"/>
        <w:numId w:val="8"/>
      </w:numPr>
      <w:ind w:left="7920"/>
      <w:outlineLvl w:val="7"/>
    </w:pPr>
    <w:rPr>
      <w:rFonts w:ascii="Times New Roman" w:eastAsia="Times New Roman" w:hAnsi="Times New Roman"/>
      <w:sz w:val="20"/>
    </w:rPr>
  </w:style>
  <w:style w:type="paragraph" w:styleId="Heading9">
    <w:name w:val="heading 9"/>
    <w:basedOn w:val="Normal"/>
    <w:next w:val="Normal"/>
    <w:qFormat/>
    <w:rsid w:val="00635FB8"/>
    <w:pPr>
      <w:numPr>
        <w:ilvl w:val="8"/>
        <w:numId w:val="9"/>
      </w:numPr>
      <w:ind w:left="7920"/>
      <w:outlineLvl w:val="8"/>
    </w:pPr>
    <w:rPr>
      <w:rFonts w:ascii="Times New Roman" w:eastAsia="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5FB8"/>
    <w:pPr>
      <w:tabs>
        <w:tab w:val="center" w:pos="4320"/>
        <w:tab w:val="right" w:pos="8640"/>
      </w:tabs>
    </w:pPr>
    <w:rPr>
      <w:rFonts w:ascii="Times New Roman" w:eastAsia="Times New Roman" w:hAnsi="Times New Roman"/>
      <w:sz w:val="20"/>
    </w:rPr>
  </w:style>
  <w:style w:type="paragraph" w:styleId="Footer">
    <w:name w:val="footer"/>
    <w:basedOn w:val="Normal"/>
    <w:rsid w:val="00635FB8"/>
    <w:pPr>
      <w:tabs>
        <w:tab w:val="center" w:pos="4320"/>
        <w:tab w:val="right" w:pos="8640"/>
      </w:tabs>
    </w:pPr>
    <w:rPr>
      <w:rFonts w:ascii="Times New Roman" w:eastAsia="Times New Roman" w:hAnsi="Times New Roman"/>
      <w:sz w:val="20"/>
    </w:rPr>
  </w:style>
  <w:style w:type="character" w:styleId="PageNumber">
    <w:name w:val="page number"/>
    <w:basedOn w:val="DefaultParagraphFont"/>
    <w:rsid w:val="00635FB8"/>
  </w:style>
  <w:style w:type="character" w:styleId="Hyperlink">
    <w:name w:val="Hyperlink"/>
    <w:basedOn w:val="DefaultParagraphFont"/>
    <w:rsid w:val="00635FB8"/>
    <w:rPr>
      <w:color w:val="0000FF"/>
      <w:u w:val="single"/>
    </w:rPr>
  </w:style>
  <w:style w:type="paragraph" w:styleId="DocumentMap">
    <w:name w:val="Document Map"/>
    <w:basedOn w:val="Normal"/>
    <w:rsid w:val="00635FB8"/>
    <w:pPr>
      <w:shd w:val="clear" w:color="auto" w:fill="000080"/>
    </w:pPr>
    <w:rPr>
      <w:rFonts w:ascii="Helvetica" w:eastAsia="MS Gothic" w:hAnsi="Helvetica"/>
    </w:rPr>
  </w:style>
  <w:style w:type="character" w:styleId="FollowedHyperlink">
    <w:name w:val="FollowedHyperlink"/>
    <w:basedOn w:val="DefaultParagraphFont"/>
    <w:rsid w:val="00635FB8"/>
    <w:rPr>
      <w:color w:val="800080"/>
      <w:u w:val="single"/>
    </w:rPr>
  </w:style>
  <w:style w:type="paragraph" w:styleId="BalloonText">
    <w:name w:val="Balloon Text"/>
    <w:basedOn w:val="Normal"/>
    <w:link w:val="BalloonTextChar"/>
    <w:uiPriority w:val="99"/>
    <w:semiHidden/>
    <w:unhideWhenUsed/>
    <w:rsid w:val="0089265E"/>
    <w:rPr>
      <w:rFonts w:ascii="Lucida Grande" w:hAnsi="Lucida Grande"/>
      <w:sz w:val="18"/>
      <w:szCs w:val="18"/>
    </w:rPr>
  </w:style>
  <w:style w:type="character" w:customStyle="1" w:styleId="BalloonTextChar">
    <w:name w:val="Balloon Text Char"/>
    <w:basedOn w:val="DefaultParagraphFont"/>
    <w:link w:val="BalloonText"/>
    <w:uiPriority w:val="99"/>
    <w:semiHidden/>
    <w:rsid w:val="0089265E"/>
    <w:rPr>
      <w:rFonts w:ascii="Lucida Grande" w:hAnsi="Lucida Grande"/>
      <w:sz w:val="18"/>
      <w:szCs w:val="18"/>
    </w:rPr>
  </w:style>
  <w:style w:type="character" w:customStyle="1" w:styleId="HeaderChar">
    <w:name w:val="Header Char"/>
    <w:basedOn w:val="DefaultParagraphFont"/>
    <w:link w:val="Header"/>
    <w:rsid w:val="005B3847"/>
    <w:rPr>
      <w:rFonts w:ascii="Times New Roman" w:eastAsia="Times New Roman" w:hAnsi="Times New Roman"/>
    </w:rPr>
  </w:style>
  <w:style w:type="character" w:styleId="CommentReference">
    <w:name w:val="annotation reference"/>
    <w:basedOn w:val="DefaultParagraphFont"/>
    <w:uiPriority w:val="99"/>
    <w:semiHidden/>
    <w:unhideWhenUsed/>
    <w:rsid w:val="000448F8"/>
    <w:rPr>
      <w:sz w:val="16"/>
      <w:szCs w:val="16"/>
    </w:rPr>
  </w:style>
  <w:style w:type="paragraph" w:styleId="CommentText">
    <w:name w:val="annotation text"/>
    <w:basedOn w:val="Normal"/>
    <w:link w:val="CommentTextChar"/>
    <w:uiPriority w:val="99"/>
    <w:unhideWhenUsed/>
    <w:rsid w:val="000448F8"/>
    <w:rPr>
      <w:sz w:val="20"/>
    </w:rPr>
  </w:style>
  <w:style w:type="character" w:customStyle="1" w:styleId="CommentTextChar">
    <w:name w:val="Comment Text Char"/>
    <w:basedOn w:val="DefaultParagraphFont"/>
    <w:link w:val="CommentText"/>
    <w:uiPriority w:val="99"/>
    <w:rsid w:val="000448F8"/>
  </w:style>
  <w:style w:type="paragraph" w:styleId="CommentSubject">
    <w:name w:val="annotation subject"/>
    <w:basedOn w:val="CommentText"/>
    <w:next w:val="CommentText"/>
    <w:link w:val="CommentSubjectChar"/>
    <w:uiPriority w:val="99"/>
    <w:semiHidden/>
    <w:unhideWhenUsed/>
    <w:rsid w:val="000448F8"/>
    <w:rPr>
      <w:b/>
      <w:bCs/>
    </w:rPr>
  </w:style>
  <w:style w:type="character" w:customStyle="1" w:styleId="CommentSubjectChar">
    <w:name w:val="Comment Subject Char"/>
    <w:basedOn w:val="CommentTextChar"/>
    <w:link w:val="CommentSubject"/>
    <w:uiPriority w:val="99"/>
    <w:semiHidden/>
    <w:rsid w:val="000448F8"/>
    <w:rPr>
      <w:b/>
      <w:bCs/>
    </w:rPr>
  </w:style>
  <w:style w:type="paragraph" w:styleId="Revision">
    <w:name w:val="Revision"/>
    <w:hidden/>
    <w:uiPriority w:val="99"/>
    <w:semiHidden/>
    <w:rsid w:val="002D292C"/>
    <w:rPr>
      <w:sz w:val="24"/>
    </w:rPr>
  </w:style>
  <w:style w:type="table" w:styleId="TableGrid">
    <w:name w:val="Table Grid"/>
    <w:basedOn w:val="TableNormal"/>
    <w:uiPriority w:val="39"/>
    <w:rsid w:val="002D29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46935">
      <w:bodyDiv w:val="1"/>
      <w:marLeft w:val="0"/>
      <w:marRight w:val="0"/>
      <w:marTop w:val="0"/>
      <w:marBottom w:val="0"/>
      <w:divBdr>
        <w:top w:val="none" w:sz="0" w:space="0" w:color="auto"/>
        <w:left w:val="none" w:sz="0" w:space="0" w:color="auto"/>
        <w:bottom w:val="none" w:sz="0" w:space="0" w:color="auto"/>
        <w:right w:val="none" w:sz="0" w:space="0" w:color="auto"/>
      </w:divBdr>
    </w:div>
    <w:div w:id="2023362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hs.gov/ohrp/humansubjects/guidance/45cfr46.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hs.gov/ohrp/policy/exprev.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hrp/policy/expedited98.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da.gov/ScienceResearch/SpecialTopics/RunningClinicalTrials/GuidancesInformationSheetsandNotices/ucm118099.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hs.gov/ohrp/humansubjects/guidance/45cfr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D50FCA3AF3E04681FB427365166B8A" ma:contentTypeVersion="12" ma:contentTypeDescription="Create a new document." ma:contentTypeScope="" ma:versionID="94e36ecb31d3e02123d9d123ba938a03">
  <xsd:schema xmlns:xsd="http://www.w3.org/2001/XMLSchema" xmlns:xs="http://www.w3.org/2001/XMLSchema" xmlns:p="http://schemas.microsoft.com/office/2006/metadata/properties" xmlns:ns2="af6e52de-401e-4434-adf6-ad33556a1f82" xmlns:ns3="47c87b48-00f9-4807-8e2f-1d1fb7006203" targetNamespace="http://schemas.microsoft.com/office/2006/metadata/properties" ma:root="true" ma:fieldsID="e3df8c801ff1726e5db6ecfa3b11e437" ns2:_="" ns3:_="">
    <xsd:import namespace="af6e52de-401e-4434-adf6-ad33556a1f82"/>
    <xsd:import namespace="47c87b48-00f9-4807-8e2f-1d1fb7006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52de-401e-4434-adf6-ad33556a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87b48-00f9-4807-8e2f-1d1fb70062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018D5-EF3F-4C95-987C-B48871E78B7D}">
  <ds:schemaRefs>
    <ds:schemaRef ds:uri="http://schemas.microsoft.com/sharepoint/v3/contenttype/forms"/>
  </ds:schemaRefs>
</ds:datastoreItem>
</file>

<file path=customXml/itemProps2.xml><?xml version="1.0" encoding="utf-8"?>
<ds:datastoreItem xmlns:ds="http://schemas.openxmlformats.org/officeDocument/2006/customXml" ds:itemID="{1C41A159-0F7C-4AFB-BCDE-8D84BEFFC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52de-401e-4434-adf6-ad33556a1f82"/>
    <ds:schemaRef ds:uri="47c87b48-00f9-4807-8e2f-1d1fb700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F5F16-2EC9-4C95-BA7A-934EABED8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EXPEDITED REVIEW</vt:lpstr>
    </vt:vector>
  </TitlesOfParts>
  <Company>UTHSC</Company>
  <LinksUpToDate>false</LinksUpToDate>
  <CharactersWithSpaces>14241</CharactersWithSpaces>
  <SharedDoc>false</SharedDoc>
  <HLinks>
    <vt:vector size="12" baseType="variant">
      <vt:variant>
        <vt:i4>7209083</vt:i4>
      </vt:variant>
      <vt:variant>
        <vt:i4>3</vt:i4>
      </vt:variant>
      <vt:variant>
        <vt:i4>0</vt:i4>
      </vt:variant>
      <vt:variant>
        <vt:i4>5</vt:i4>
      </vt:variant>
      <vt:variant>
        <vt:lpwstr>http://www.hhs.gov/ohrp/humansubjects/guidance/expedited98.htm</vt:lpwstr>
      </vt:variant>
      <vt:variant>
        <vt:lpwstr/>
      </vt:variant>
      <vt:variant>
        <vt:i4>1572976</vt:i4>
      </vt:variant>
      <vt:variant>
        <vt:i4>0</vt:i4>
      </vt:variant>
      <vt:variant>
        <vt:i4>0</vt:i4>
      </vt:variant>
      <vt:variant>
        <vt:i4>5</vt:i4>
      </vt:variant>
      <vt:variant>
        <vt:lpwstr>http://www.hhs.gov/ohrp/humansubjects/guidance/exprev.htm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EXPEDITED REVIEW</dc:title>
  <dc:subject/>
  <dc:creator>Donna Hollaway</dc:creator>
  <cp:keywords/>
  <cp:lastModifiedBy>Barclay, Cameron A</cp:lastModifiedBy>
  <cp:revision>2</cp:revision>
  <cp:lastPrinted>2005-09-30T21:56:00Z</cp:lastPrinted>
  <dcterms:created xsi:type="dcterms:W3CDTF">2022-10-05T12:49:00Z</dcterms:created>
  <dcterms:modified xsi:type="dcterms:W3CDTF">2022-10-05T12:49:00Z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0x0101009CD50FCA3AF3E04681FB427365166B8A</vt:lpwstr>
  </property>
</Properties>
</file>